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217" w:rsidRPr="00132EF6" w:rsidRDefault="00DC4217" w:rsidP="00132EF6">
      <w:pPr>
        <w:pStyle w:val="af7"/>
      </w:pPr>
      <w:r w:rsidRPr="00132EF6">
        <w:t>Белорусский государственный университет информатики и радиоэлектроники</w:t>
      </w:r>
    </w:p>
    <w:p w:rsidR="00132EF6" w:rsidRDefault="00DC4217" w:rsidP="00132EF6">
      <w:pPr>
        <w:pStyle w:val="af7"/>
      </w:pPr>
      <w:r w:rsidRPr="00132EF6">
        <w:t>Кафедра РЭС</w:t>
      </w: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DC4217" w:rsidRPr="00132EF6" w:rsidRDefault="00DC4217" w:rsidP="00132EF6">
      <w:pPr>
        <w:pStyle w:val="af7"/>
      </w:pPr>
      <w:r w:rsidRPr="00132EF6">
        <w:t>РЕФЕРАТ</w:t>
      </w:r>
    </w:p>
    <w:p w:rsidR="00DC4217" w:rsidRPr="00132EF6" w:rsidRDefault="00DC4217" w:rsidP="00132EF6">
      <w:pPr>
        <w:pStyle w:val="af7"/>
      </w:pPr>
      <w:r w:rsidRPr="00132EF6">
        <w:t>На тему</w:t>
      </w:r>
      <w:r w:rsidR="00132EF6" w:rsidRPr="00132EF6">
        <w:t xml:space="preserve">: </w:t>
      </w:r>
    </w:p>
    <w:p w:rsidR="00132EF6" w:rsidRDefault="00132EF6" w:rsidP="00132EF6">
      <w:pPr>
        <w:pStyle w:val="af7"/>
      </w:pPr>
      <w:r>
        <w:t>"</w:t>
      </w:r>
      <w:r w:rsidR="003F4A10" w:rsidRPr="00132EF6">
        <w:t>Классификация СПС</w:t>
      </w:r>
      <w:r w:rsidRPr="00132EF6">
        <w:t xml:space="preserve">. </w:t>
      </w:r>
      <w:r w:rsidR="003F4A10" w:rsidRPr="00132EF6">
        <w:t>Виды пожарных извещателей и их размещение</w:t>
      </w:r>
      <w:r>
        <w:t>"</w:t>
      </w: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132EF6" w:rsidRDefault="00132EF6" w:rsidP="00132EF6">
      <w:pPr>
        <w:pStyle w:val="af7"/>
      </w:pPr>
    </w:p>
    <w:p w:rsidR="00DC4217" w:rsidRPr="00132EF6" w:rsidRDefault="00DC4217" w:rsidP="00132EF6">
      <w:pPr>
        <w:pStyle w:val="af7"/>
      </w:pPr>
      <w:r w:rsidRPr="00132EF6">
        <w:t>МИНСК, 2008</w:t>
      </w:r>
    </w:p>
    <w:p w:rsidR="003F4A10" w:rsidRDefault="00DC4217" w:rsidP="00132EF6">
      <w:r w:rsidRPr="00132EF6">
        <w:br w:type="page"/>
      </w:r>
      <w:r w:rsidR="003F4A10" w:rsidRPr="00132EF6">
        <w:t>Система пожарной сигнализации – совокупность технических средств, предназначенных для обнаружения факторов пожара, формирования, сбора, обработки, регистрации и передачи в заданном виде сигналов о пожаре, режимах работы системы, другой информации и, при необходимости, выдачи сигналов на управление техническими средствами противопожарной защиты, технологическим, электротехническим, и другим оборудованием</w:t>
      </w:r>
      <w:r w:rsidR="00132EF6" w:rsidRPr="00132EF6">
        <w:t xml:space="preserve">. </w:t>
      </w:r>
    </w:p>
    <w:p w:rsidR="00132EF6" w:rsidRPr="00132EF6" w:rsidRDefault="00132EF6" w:rsidP="00132EF6"/>
    <w:p w:rsidR="00132EF6" w:rsidRPr="00132EF6" w:rsidRDefault="00D03670" w:rsidP="00132EF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5pt;height:183pt">
            <v:imagedata r:id="rId7" o:title="" croptop="11299f" cropbottom="17769f" cropleft="7864f" cropright="21680f"/>
          </v:shape>
        </w:pict>
      </w:r>
    </w:p>
    <w:p w:rsidR="00132EF6" w:rsidRDefault="00132EF6" w:rsidP="00132EF6"/>
    <w:p w:rsidR="003F4A10" w:rsidRPr="00132EF6" w:rsidRDefault="00132EF6" w:rsidP="00132EF6">
      <w:r w:rsidRPr="00132EF6">
        <w:t>Рис.1</w:t>
      </w:r>
      <w:r w:rsidR="003F4A10" w:rsidRPr="00132EF6">
        <w:t xml:space="preserve"> Структура системы пожарной сигнализации</w:t>
      </w:r>
      <w:r w:rsidRPr="00132EF6"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60"/>
        <w:gridCol w:w="7480"/>
      </w:tblGrid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компонент и линия связи, которые входят в состав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 xml:space="preserve">_ _ _ _ _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компонент и линия связи, которые могут входить в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 xml:space="preserve">группа </w:t>
            </w:r>
            <w:r w:rsidRPr="00132EF6">
              <w:rPr>
                <w:lang w:val="en-US"/>
              </w:rPr>
              <w:t>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компоненты для обеспечения функционирования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 xml:space="preserve">группа </w:t>
            </w:r>
            <w:r w:rsidRPr="00132EF6">
              <w:rPr>
                <w:lang w:val="en-US"/>
              </w:rPr>
              <w:t>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компоненты для обеспечения внешнего контроля за работой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 xml:space="preserve">группа </w:t>
            </w:r>
            <w:r w:rsidRPr="00132EF6">
              <w:rPr>
                <w:lang w:val="en-US"/>
              </w:rPr>
              <w:t>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компоненты для включения технических средств противопожарной защиты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132EF6" w:rsidP="00132EF6">
            <w:pPr>
              <w:pStyle w:val="af4"/>
            </w:pPr>
            <w:r w:rsidRPr="00132EF6">
              <w:t xml:space="preserve"> </w:t>
            </w:r>
            <w:r w:rsidR="003F4A10" w:rsidRPr="00132EF6">
              <w:t>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пожарные извещатели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Б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приемно-контрольный прибор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пожарный оповещатель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Г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источник питания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ретранслятор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аппаратура пункта наблюдения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Ж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–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устройство управления СПС</w:t>
            </w:r>
            <w:r w:rsidR="00132EF6" w:rsidRPr="00132EF6">
              <w:t xml:space="preserve">; </w:t>
            </w:r>
          </w:p>
        </w:tc>
      </w:tr>
      <w:tr w:rsidR="003F4A10" w:rsidRPr="00132EF6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pPr>
              <w:pStyle w:val="af4"/>
            </w:pPr>
            <w:r w:rsidRPr="00132EF6">
              <w:t>З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F4A10" w:rsidRPr="00132EF6" w:rsidRDefault="003F4A10" w:rsidP="00132EF6">
            <w:r w:rsidRPr="00132EF6">
              <w:t>-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4A10" w:rsidRPr="00132EF6" w:rsidRDefault="003F4A10" w:rsidP="00132EF6">
            <w:pPr>
              <w:pStyle w:val="af4"/>
            </w:pPr>
            <w:r w:rsidRPr="00132EF6">
              <w:t>технические средства противопожарной защиты, технологическое</w:t>
            </w:r>
            <w:r w:rsidR="00132EF6" w:rsidRPr="00132EF6">
              <w:t xml:space="preserve">, </w:t>
            </w:r>
            <w:r w:rsidRPr="00132EF6">
              <w:t>электротехническое и другое оборудование</w:t>
            </w:r>
            <w:r w:rsidR="00132EF6" w:rsidRPr="00132EF6">
              <w:t xml:space="preserve">. </w:t>
            </w:r>
          </w:p>
        </w:tc>
      </w:tr>
    </w:tbl>
    <w:p w:rsidR="003F4A10" w:rsidRPr="00132EF6" w:rsidRDefault="003F4A10" w:rsidP="00132EF6"/>
    <w:p w:rsidR="003F4A10" w:rsidRPr="00132EF6" w:rsidRDefault="003F4A10" w:rsidP="00132EF6">
      <w:r w:rsidRPr="00132EF6">
        <w:t>Классификация СПС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По функциональным возможностям все СПС можно разделить на три класса</w:t>
      </w:r>
      <w:r w:rsidR="00132EF6" w:rsidRPr="00132EF6">
        <w:t xml:space="preserve">: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 xml:space="preserve">традиционные пороговые, </w:t>
      </w:r>
    </w:p>
    <w:p w:rsidR="00132EF6" w:rsidRPr="00132EF6" w:rsidRDefault="003F4A10" w:rsidP="00132EF6">
      <w:r w:rsidRPr="00132EF6">
        <w:t>-</w:t>
      </w:r>
      <w:r w:rsidR="00350645">
        <w:t xml:space="preserve"> </w:t>
      </w:r>
      <w:r w:rsidRPr="00132EF6">
        <w:t>адресные пороговые (неопросные и опросные</w:t>
      </w:r>
      <w:r w:rsidR="00132EF6" w:rsidRPr="00132EF6">
        <w:t>),</w:t>
      </w:r>
      <w:r w:rsidRPr="00132EF6">
        <w:t xml:space="preserve"> </w:t>
      </w:r>
    </w:p>
    <w:p w:rsidR="003F4A10" w:rsidRPr="00132EF6" w:rsidRDefault="00132EF6" w:rsidP="00132EF6">
      <w:r w:rsidRPr="00132EF6">
        <w:t xml:space="preserve">- </w:t>
      </w:r>
      <w:r w:rsidR="003F4A10" w:rsidRPr="00132EF6">
        <w:t>адресно-аналоговые</w:t>
      </w:r>
      <w:r w:rsidRPr="00132EF6">
        <w:t xml:space="preserve">. </w:t>
      </w:r>
    </w:p>
    <w:p w:rsidR="003F4A10" w:rsidRPr="00132EF6" w:rsidRDefault="003F4A10" w:rsidP="00132EF6">
      <w:r w:rsidRPr="00132EF6">
        <w:t>Пороговые системы построены на принципе получения ПКП по шлейфам пожарной сигнализации сигнала тревоги, выданного извещателем по результатам анализа заданных параметров</w:t>
      </w:r>
      <w:r w:rsidR="00132EF6" w:rsidRPr="00132EF6">
        <w:t xml:space="preserve">. </w:t>
      </w:r>
      <w:r w:rsidRPr="00132EF6">
        <w:t>Достоинством этого способа является простота приемно-контрольного прибора и постоянство его структуры</w:t>
      </w:r>
      <w:r w:rsidR="00132EF6" w:rsidRPr="00132EF6">
        <w:t xml:space="preserve">. </w:t>
      </w:r>
      <w:r w:rsidRPr="00132EF6">
        <w:t>Однако при использовании таких устройств имеются значительные затраты на кабель и монтажные работы, так как от единственного прибора идет прокладка множества проводов по всему зданию</w:t>
      </w:r>
      <w:r w:rsidR="00132EF6" w:rsidRPr="00132EF6">
        <w:t xml:space="preserve">. </w:t>
      </w:r>
      <w:r w:rsidRPr="00132EF6">
        <w:t>По такому принципу работают производимые в республике приемно-контрольные приборы серии "Аларм –4", "Аларм –5" (производства НТ ЗАО "Аларм"</w:t>
      </w:r>
      <w:r w:rsidR="00132EF6" w:rsidRPr="00132EF6">
        <w:t>),</w:t>
      </w:r>
      <w:r w:rsidRPr="00132EF6">
        <w:t xml:space="preserve"> "ПКП</w:t>
      </w:r>
      <w:r w:rsidR="00132EF6" w:rsidRPr="00132EF6">
        <w:t xml:space="preserve"> - </w:t>
      </w:r>
      <w:r w:rsidRPr="00132EF6">
        <w:t>4", "ПКП 8/16" (производства ОДО "Новотех Секьюрити"</w:t>
      </w:r>
      <w:r w:rsidR="00132EF6" w:rsidRPr="00132EF6">
        <w:t>),</w:t>
      </w:r>
      <w:r w:rsidRPr="00132EF6">
        <w:t xml:space="preserve"> "АС 102", "АС103", "АС301" (производства ОАО "Завод Спецавтоматика"</w:t>
      </w:r>
      <w:r w:rsidR="00132EF6" w:rsidRPr="00132EF6">
        <w:t xml:space="preserve">) </w:t>
      </w:r>
      <w:r w:rsidRPr="00132EF6">
        <w:t>и др</w:t>
      </w:r>
      <w:r w:rsidR="00132EF6" w:rsidRPr="00132EF6">
        <w:t xml:space="preserve">. . </w:t>
      </w:r>
    </w:p>
    <w:p w:rsidR="003F4A10" w:rsidRPr="00132EF6" w:rsidRDefault="003F4A10" w:rsidP="00132EF6">
      <w:r w:rsidRPr="00132EF6">
        <w:t>Адресные пороговые системы</w:t>
      </w:r>
      <w:r w:rsidR="00132EF6" w:rsidRPr="00132EF6">
        <w:t xml:space="preserve"> - </w:t>
      </w:r>
      <w:r w:rsidRPr="00132EF6">
        <w:t>используют адресацию на уровне отдельных блоков (модулей</w:t>
      </w:r>
      <w:r w:rsidR="00132EF6" w:rsidRPr="00132EF6">
        <w:t xml:space="preserve">) </w:t>
      </w:r>
      <w:r w:rsidRPr="00132EF6">
        <w:t>СПС</w:t>
      </w:r>
      <w:r w:rsidR="00132EF6" w:rsidRPr="00132EF6">
        <w:t xml:space="preserve">. </w:t>
      </w:r>
      <w:r w:rsidRPr="00132EF6">
        <w:t>Идеологией построения таких систем является следующий принцип</w:t>
      </w:r>
      <w:r w:rsidR="00132EF6" w:rsidRPr="00132EF6">
        <w:t xml:space="preserve">: </w:t>
      </w:r>
    </w:p>
    <w:p w:rsidR="003F4A10" w:rsidRPr="00132EF6" w:rsidRDefault="003F4A10" w:rsidP="00132EF6">
      <w:pPr>
        <w:pStyle w:val="a0"/>
      </w:pPr>
      <w:r w:rsidRPr="00132EF6">
        <w:t>использование широко применяемых типов пожарных извещателей без дополнительных адресных элементов</w:t>
      </w:r>
      <w:r w:rsidR="00132EF6" w:rsidRPr="00132EF6">
        <w:t xml:space="preserve">; </w:t>
      </w:r>
    </w:p>
    <w:p w:rsidR="003F4A10" w:rsidRPr="00132EF6" w:rsidRDefault="003F4A10" w:rsidP="00132EF6">
      <w:pPr>
        <w:pStyle w:val="a0"/>
      </w:pPr>
      <w:r w:rsidRPr="00132EF6">
        <w:t>определение зоны обслуживания одним шлейфом с индивидуальным адресом в системе</w:t>
      </w:r>
      <w:r w:rsidR="00132EF6" w:rsidRPr="00132EF6">
        <w:t xml:space="preserve">; </w:t>
      </w:r>
    </w:p>
    <w:p w:rsidR="003F4A10" w:rsidRPr="00132EF6" w:rsidRDefault="003F4A10" w:rsidP="00132EF6">
      <w:pPr>
        <w:pStyle w:val="a0"/>
      </w:pPr>
      <w:r w:rsidRPr="00132EF6">
        <w:t>повышение эксплуатационной надежности и устойчивости системы путем многократного резервирования ее функций</w:t>
      </w:r>
      <w:r w:rsidR="00132EF6" w:rsidRPr="00132EF6">
        <w:t xml:space="preserve">. </w:t>
      </w:r>
      <w:r w:rsidRPr="00132EF6">
        <w:t>Применяемые в системе модули</w:t>
      </w:r>
      <w:r w:rsidR="00132EF6" w:rsidRPr="00132EF6">
        <w:t xml:space="preserve"> </w:t>
      </w:r>
      <w:r w:rsidRPr="00132EF6">
        <w:t>могут полноценно функционировать самостоятельно и независимо от состояния других компонентов системы</w:t>
      </w:r>
      <w:r w:rsidR="00132EF6" w:rsidRPr="00132EF6">
        <w:t xml:space="preserve">; </w:t>
      </w:r>
    </w:p>
    <w:p w:rsidR="003F4A10" w:rsidRPr="00132EF6" w:rsidRDefault="003F4A10" w:rsidP="00132EF6">
      <w:pPr>
        <w:pStyle w:val="a0"/>
      </w:pPr>
      <w:r w:rsidRPr="00132EF6">
        <w:t>широкие функциональные возможности по адаптации конкретного прибора под конкретные задачи и условия эксплуатации</w:t>
      </w:r>
      <w:r w:rsidR="00132EF6" w:rsidRPr="00132EF6">
        <w:t xml:space="preserve">; </w:t>
      </w:r>
    </w:p>
    <w:p w:rsidR="003F4A10" w:rsidRPr="00132EF6" w:rsidRDefault="003F4A10" w:rsidP="00132EF6">
      <w:pPr>
        <w:pStyle w:val="a0"/>
      </w:pPr>
      <w:r w:rsidRPr="00132EF6">
        <w:t>уменьшение затрат кабельной продукции (за счет того, что шлейфы пожарной сигнализации прокладываются от адресных модулей, устанавливаемых вблизи защищаемых зон и соединяемых между собой двухпроводной линией</w:t>
      </w:r>
      <w:r w:rsidR="00132EF6" w:rsidRPr="00132EF6">
        <w:t xml:space="preserve">). </w:t>
      </w:r>
    </w:p>
    <w:p w:rsidR="003F4A10" w:rsidRPr="00132EF6" w:rsidRDefault="003F4A10" w:rsidP="00132EF6">
      <w:r w:rsidRPr="00132EF6">
        <w:t>В таких системах просто и гибко перенастраиваются имеющиеся функции</w:t>
      </w:r>
      <w:r w:rsidR="00132EF6" w:rsidRPr="00132EF6">
        <w:t xml:space="preserve">. </w:t>
      </w:r>
      <w:r w:rsidRPr="00132EF6">
        <w:t>СПС строится путем добавления в общую структуру оборудования необходимой модификации</w:t>
      </w:r>
      <w:r w:rsidR="00132EF6" w:rsidRPr="00132EF6">
        <w:t xml:space="preserve">. </w:t>
      </w:r>
      <w:r w:rsidRPr="00132EF6">
        <w:t>По такому принципу построены ряд систем отечественного производства, это СПС "Спектрон" (производства ООО "АнВАЗ"</w:t>
      </w:r>
      <w:r w:rsidR="00132EF6" w:rsidRPr="00132EF6">
        <w:t>),</w:t>
      </w:r>
      <w:r w:rsidRPr="00132EF6">
        <w:t xml:space="preserve"> интегрированная система охраны "777" (производства ЗАО "Ровалэнт"</w:t>
      </w:r>
      <w:r w:rsidR="00132EF6" w:rsidRPr="00132EF6">
        <w:t>),</w:t>
      </w:r>
      <w:r w:rsidRPr="00132EF6">
        <w:t xml:space="preserve"> которые при применении соответствующих модулей помимо функций обнаружения пожара, обеспечивают</w:t>
      </w:r>
      <w:r w:rsidR="00132EF6" w:rsidRPr="00132EF6">
        <w:t xml:space="preserve"> </w:t>
      </w:r>
      <w:r w:rsidRPr="00132EF6">
        <w:t>управление установками пожаротушения и дымоудаления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Применение пороговых ПКП с адресацией модулей позволяет, помимо снижения количества кабельной продукции, значительно уменьшить трудозатраты на монтажные работы</w:t>
      </w:r>
      <w:r w:rsidR="00132EF6" w:rsidRPr="00132EF6">
        <w:t xml:space="preserve">. </w:t>
      </w:r>
      <w:r w:rsidRPr="00132EF6">
        <w:t>Кроме того, при поэтапном выполнении монтажных работ (например, при реконструкции объекта</w:t>
      </w:r>
      <w:r w:rsidR="00132EF6" w:rsidRPr="00132EF6">
        <w:t>),</w:t>
      </w:r>
      <w:r w:rsidRPr="00132EF6">
        <w:t xml:space="preserve"> когда оборудование пожарной сигнализации отдельных зданий предполагается через некоторое время, применение указанных систем позволяет наращивать структуру СПС путем установки модулей соответствующего функционального назначения только на вводимых объектах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Второе направление</w:t>
      </w:r>
      <w:r w:rsidR="00132EF6" w:rsidRPr="00132EF6">
        <w:t xml:space="preserve"> - </w:t>
      </w:r>
      <w:r w:rsidRPr="00132EF6">
        <w:t>опросные адресные приборы, модули, блоки и извещатели пожарной сигнализации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К достоинствам таких систем можно отнести высокую точность определения места пожара, надежность и достоверность получения сообщения, высокую степень реакции системы на устранение или предотвращение нештатной ситуации, более высокую защищенность ПКП от блокирования шлейфа (при коротком замыкании или обрыве</w:t>
      </w:r>
      <w:r w:rsidR="00132EF6" w:rsidRPr="00132EF6">
        <w:t xml:space="preserve">) </w:t>
      </w:r>
      <w:r w:rsidRPr="00132EF6">
        <w:t>и экономию кабеля при монтаже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Адресно-аналоговые системы – это системы, главное отличие которых состоит в разделении функций принятия решения о тревоге</w:t>
      </w:r>
      <w:r w:rsidR="00132EF6" w:rsidRPr="00132EF6">
        <w:t xml:space="preserve">. </w:t>
      </w:r>
      <w:r w:rsidRPr="00132EF6">
        <w:t>Если в пороговых и адресных системах критерии тревоги определяются исключительно техническими характеристиками ПИ, заданными заводом-изготовителем или установленными (запрограммированными</w:t>
      </w:r>
      <w:r w:rsidR="00132EF6" w:rsidRPr="00132EF6">
        <w:t xml:space="preserve">) </w:t>
      </w:r>
      <w:r w:rsidR="00350645">
        <w:t>при монтаже, то в адресно–</w:t>
      </w:r>
      <w:r w:rsidRPr="00132EF6">
        <w:t>аналоговых системах предусмотрена возможность корректировать работу системы в целом в зависимости от характеристики объекта</w:t>
      </w:r>
      <w:r w:rsidR="00132EF6" w:rsidRPr="00132EF6">
        <w:t xml:space="preserve">. </w:t>
      </w:r>
      <w:r w:rsidRPr="00132EF6">
        <w:t>Адресно-аналоговая система в реальном масштабе времени производит сбор и обработку данных о состоянии объекта и системы</w:t>
      </w:r>
      <w:r w:rsidR="00132EF6" w:rsidRPr="00132EF6">
        <w:t xml:space="preserve">. </w:t>
      </w:r>
      <w:r w:rsidRPr="00132EF6">
        <w:t>В этих системах используются извещатели, способные выдавать информацию о тех параметрах, которые контролирует извещатель и о его состоянии в данный момент</w:t>
      </w:r>
      <w:r w:rsidR="00132EF6" w:rsidRPr="00132EF6">
        <w:t xml:space="preserve">. </w:t>
      </w:r>
      <w:r w:rsidRPr="00132EF6">
        <w:t>Обработка этих параметров происходит в контрольной панели, которая принимает необходимые решения и реализует запрограммированный алгоритм по взаимодействию с другими компонентами системы, осуществляя необходимый контроль правильности его исполнения с использованием принципов адресной идентификации</w:t>
      </w:r>
      <w:r w:rsidR="00132EF6" w:rsidRPr="00132EF6">
        <w:t xml:space="preserve">. </w:t>
      </w:r>
    </w:p>
    <w:p w:rsidR="00132EF6" w:rsidRDefault="003F4A10" w:rsidP="00132EF6">
      <w:r w:rsidRPr="00132EF6">
        <w:t>В республике работы по созданию адресно-аналоговых систем ведутся рядом фирм</w:t>
      </w:r>
      <w:r w:rsidR="00132EF6" w:rsidRPr="00132EF6">
        <w:t xml:space="preserve"> </w:t>
      </w:r>
      <w:r w:rsidRPr="00132EF6">
        <w:t>и в настоящее время СПС "Эстафета" (производства НП ООО "Класском"</w:t>
      </w:r>
      <w:r w:rsidR="00132EF6" w:rsidRPr="00132EF6">
        <w:t xml:space="preserve">) </w:t>
      </w:r>
      <w:r w:rsidRPr="00132EF6">
        <w:t>выпускается серийно и успешно функционирует на нескольких объектах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Пожарные извещатели (ПИ</w:t>
      </w:r>
      <w:r w:rsidR="00132EF6" w:rsidRPr="00132EF6">
        <w:t xml:space="preserve">). </w:t>
      </w:r>
    </w:p>
    <w:p w:rsidR="003F4A10" w:rsidRPr="00132EF6" w:rsidRDefault="003F4A10" w:rsidP="00132EF6">
      <w:r w:rsidRPr="00132EF6">
        <w:t>ПИ теплового действия реагируют на повышение температуры в охраняемой зоне до 600-700С в зависимости от модификации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Одноразовые датчики состоят из двух гибких пластин, соединенных специальным легкоплавким составом, температура плавления которого 700-720 С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ПИ многоразового действия состоит из геркона, окруженного магнитом с двумя тонкими радиаторами-лепестками</w:t>
      </w:r>
      <w:r w:rsidR="00132EF6" w:rsidRPr="00132EF6">
        <w:t xml:space="preserve">. </w:t>
      </w:r>
      <w:r w:rsidRPr="00132EF6">
        <w:t>При температуре 700 С магнитное поле постоянного магнита становится недостаточным (ослабевает</w:t>
      </w:r>
      <w:r w:rsidR="00132EF6" w:rsidRPr="00132EF6">
        <w:t>),</w:t>
      </w:r>
      <w:r w:rsidRPr="00132EF6">
        <w:t xml:space="preserve"> чтобы держать контакты геркона в замкнутом состоянии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Дымовые ПИ представляют собой автоматические оптико-электронные устройства, реагирующие на появление дыма в охраняемой зоне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ПИ ручного действия</w:t>
      </w:r>
      <w:r w:rsidR="00132EF6" w:rsidRPr="00132EF6">
        <w:t xml:space="preserve">. </w:t>
      </w:r>
      <w:r w:rsidRPr="00132EF6">
        <w:t>предназначены для принудительной выдачи ручным способом извещения о пожаре в рабочее время</w:t>
      </w:r>
      <w:r w:rsidR="00132EF6" w:rsidRPr="00132EF6">
        <w:t xml:space="preserve">. </w:t>
      </w:r>
      <w:r w:rsidRPr="00132EF6">
        <w:t>Принцип действия основан на разрывании шлейфа путем нажатия кнопки или рычага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Общие положения при выборе типов пожарных извещателей для защищаемого объекта</w:t>
      </w:r>
    </w:p>
    <w:p w:rsidR="003F4A10" w:rsidRPr="00132EF6" w:rsidRDefault="003F4A10" w:rsidP="00132EF6">
      <w:r w:rsidRPr="00132EF6">
        <w:t>1</w:t>
      </w:r>
      <w:r w:rsidR="00132EF6" w:rsidRPr="00132EF6">
        <w:t xml:space="preserve">. </w:t>
      </w:r>
      <w:r w:rsidRPr="00132EF6">
        <w:t>Выбор типа точечного дымового ПИ следует производить в соответствии с его способностью обнаруживать различные типы дымов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2</w:t>
      </w:r>
      <w:r w:rsidR="00132EF6" w:rsidRPr="00132EF6">
        <w:t xml:space="preserve">. </w:t>
      </w:r>
      <w:r w:rsidRPr="00132EF6">
        <w:t>Спектральная чувствительность ПИ пламени должна соответствовать спектру излучения пламени горючих материалов, находящихся в зоне контроля ПИ</w:t>
      </w:r>
      <w:r w:rsidR="00132EF6" w:rsidRPr="00132EF6">
        <w:t xml:space="preserve">. </w:t>
      </w:r>
      <w:r w:rsidRPr="00132EF6">
        <w:t>ПИ пламени следует применять для обнаружения пожаров тех видов горючих веществ и материалов, которые перечислены в технической документации на ПИ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3</w:t>
      </w:r>
      <w:r w:rsidR="00132EF6" w:rsidRPr="00132EF6">
        <w:t xml:space="preserve">. </w:t>
      </w:r>
      <w:r w:rsidRPr="00132EF6">
        <w:t>Тепловые ПИ применяются, если в зоне контроля в случае возникновения пожара на его начальной стадии предполагается значительное тепловыделение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Дифференциальные и максимально-дифференциальные тепловые ПИ применяются для обнаружения очага пожара, если в зоне контроля не предполагается резких перепадов температуры, не связанных с возникновением пожара, способных вызвать срабатывание ПИ этих типов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Максимальные тепловые ПИ не рекомендуется применять в помещениях</w:t>
      </w:r>
      <w:r w:rsidR="00132EF6" w:rsidRPr="00132EF6">
        <w:t xml:space="preserve">: </w:t>
      </w:r>
    </w:p>
    <w:p w:rsidR="003F4A10" w:rsidRPr="00132EF6" w:rsidRDefault="003F4A10" w:rsidP="00132EF6">
      <w:r w:rsidRPr="00132EF6">
        <w:t>с низкими температурами (ниже 0 °С</w:t>
      </w:r>
      <w:r w:rsidR="00132EF6" w:rsidRPr="00132EF6">
        <w:t xml:space="preserve">); </w:t>
      </w:r>
    </w:p>
    <w:p w:rsidR="003F4A10" w:rsidRPr="00132EF6" w:rsidRDefault="003F4A10" w:rsidP="00132EF6">
      <w:r w:rsidRPr="00132EF6">
        <w:t>представляющих архитектурную или историческую ценность, в помещениях музеев, архивов, библиотек, картинных галерей, хранилищ произведений искусства и уникальных ценностей, хранилищах ценностей в банках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4</w:t>
      </w:r>
      <w:r w:rsidR="00132EF6" w:rsidRPr="00132EF6">
        <w:t xml:space="preserve">. </w:t>
      </w:r>
      <w:r w:rsidRPr="00132EF6">
        <w:t>При выборе тепловых ПИ следует учитывать, что температура срабатывания максимальных и максимально-дифференциальных ПИ должна быть не менее чем на 20°С выше максимально допустимой температуры воздуха в помещении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5</w:t>
      </w:r>
      <w:r w:rsidR="00132EF6" w:rsidRPr="00132EF6">
        <w:t xml:space="preserve">. </w:t>
      </w:r>
      <w:r w:rsidRPr="00132EF6">
        <w:t>ПИ и ППКП следует применять в соответствии с требованиями нормативно-технических документов, технической документации и с учетом механических, электромагнитных и других воздействий в местах их размещения</w:t>
      </w:r>
    </w:p>
    <w:p w:rsidR="003F4A10" w:rsidRPr="00132EF6" w:rsidRDefault="003F4A10" w:rsidP="00132EF6">
      <w:r w:rsidRPr="00132EF6">
        <w:t>6</w:t>
      </w:r>
      <w:r w:rsidR="00132EF6" w:rsidRPr="00132EF6">
        <w:t xml:space="preserve">. </w:t>
      </w:r>
      <w:r w:rsidRPr="00132EF6">
        <w:t>Дымовые ПИ, питающиеся по шлейфу СПС и имеющие встроенный звуковой оповещатель, рекомендуется применять для оперативного локального оповещения и определения места пожара в помещениях, в которых выполняются следующие условия</w:t>
      </w:r>
      <w:r w:rsidR="00132EF6" w:rsidRPr="00132EF6">
        <w:t xml:space="preserve">: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>основным фактором возникновения очага пожара в начальной стадии является появление дыма</w:t>
      </w:r>
      <w:r w:rsidR="00132EF6" w:rsidRPr="00132EF6">
        <w:t xml:space="preserve">;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>в защищаемых помещениях возможно присутствие людей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Такие ПИ должны включаться в единую СПС с выводом тревожных извещений на ППКП, расположенный в помещении персонала, несущего круглосуточное дежурство</w:t>
      </w:r>
      <w:r w:rsidR="00132EF6" w:rsidRPr="00132EF6">
        <w:t xml:space="preserve">. </w:t>
      </w:r>
    </w:p>
    <w:p w:rsidR="00132EF6" w:rsidRPr="00132EF6" w:rsidRDefault="003F4A10" w:rsidP="00132EF6">
      <w:r w:rsidRPr="00132EF6">
        <w:t>Примечание</w:t>
      </w:r>
      <w:r w:rsidR="00132EF6" w:rsidRPr="00132EF6">
        <w:t xml:space="preserve"> - </w:t>
      </w:r>
      <w:r w:rsidRPr="00132EF6">
        <w:t>Данные ПИ рекомендуется применять в экспозиционных залах музеев, в картинных галереях, в читальных залах библиотек, в помещениях торговли, в вычислительных центрах, а также в помещениях с ночным пребыванием людей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Требования к организации зон контроля</w:t>
      </w:r>
    </w:p>
    <w:p w:rsidR="003F4A10" w:rsidRPr="00132EF6" w:rsidRDefault="003F4A10" w:rsidP="00132EF6">
      <w:r w:rsidRPr="00132EF6">
        <w:t>1</w:t>
      </w:r>
      <w:r w:rsidR="00132EF6" w:rsidRPr="00132EF6">
        <w:t xml:space="preserve">. </w:t>
      </w:r>
      <w:r w:rsidRPr="00132EF6">
        <w:t>Одним шлейфом СПС с неадресными ПИ следует защищать зону контроля, включающую</w:t>
      </w:r>
      <w:r w:rsidR="00132EF6" w:rsidRPr="00132EF6">
        <w:t xml:space="preserve">: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>помещения, расположенные на разных этажах, при их суммарной площади 300 м</w:t>
      </w:r>
      <w:r w:rsidRPr="00350645">
        <w:rPr>
          <w:vertAlign w:val="superscript"/>
        </w:rPr>
        <w:t>2</w:t>
      </w:r>
      <w:r w:rsidRPr="00132EF6">
        <w:t xml:space="preserve"> и менее</w:t>
      </w:r>
      <w:r w:rsidR="00132EF6" w:rsidRPr="00132EF6">
        <w:t xml:space="preserve">;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>не более десяти помещений суммарной площадью не более 1600 м2, расположенных на одном этаже здания и имеющих выход в одно и то же помещение (коридор, холл, вестибюль</w:t>
      </w:r>
      <w:r w:rsidR="00132EF6" w:rsidRPr="00132EF6">
        <w:t xml:space="preserve">); </w:t>
      </w:r>
    </w:p>
    <w:p w:rsidR="003F4A10" w:rsidRPr="00132EF6" w:rsidRDefault="003F4A10" w:rsidP="00132EF6">
      <w:r w:rsidRPr="00132EF6">
        <w:t>-</w:t>
      </w:r>
      <w:r w:rsidR="00350645">
        <w:t xml:space="preserve"> </w:t>
      </w:r>
      <w:r w:rsidRPr="00132EF6">
        <w:t>не более двадцати помещений суммарной площадью не более 1600 м2, расположенных на одном этаже здания и имеющих выход в одно и то же помещение (коридор, холл, вестибюль</w:t>
      </w:r>
      <w:r w:rsidR="00132EF6" w:rsidRPr="00132EF6">
        <w:t>),</w:t>
      </w:r>
      <w:r w:rsidRPr="00132EF6">
        <w:t xml:space="preserve"> либо выход наружу, при наличии выносной световой сигнализации о срабатывании ПИ над входом в каждое контролируемое помещение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2</w:t>
      </w:r>
      <w:r w:rsidR="00132EF6" w:rsidRPr="00132EF6">
        <w:t xml:space="preserve">. </w:t>
      </w:r>
      <w:r w:rsidRPr="00132EF6">
        <w:t>Выход в одно и то же помещение (коридор, холл, вестибюль</w:t>
      </w:r>
      <w:r w:rsidR="00132EF6" w:rsidRPr="00132EF6">
        <w:t xml:space="preserve">) </w:t>
      </w:r>
      <w:r w:rsidRPr="00132EF6">
        <w:t>согласно п</w:t>
      </w:r>
      <w:r w:rsidR="00132EF6" w:rsidRPr="00132EF6">
        <w:t>.1</w:t>
      </w:r>
      <w:r w:rsidRPr="00132EF6">
        <w:t xml:space="preserve"> допускается предусматривать не более чем через одно смежное помещение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3</w:t>
      </w:r>
      <w:r w:rsidR="00132EF6" w:rsidRPr="00132EF6">
        <w:t xml:space="preserve">. </w:t>
      </w:r>
      <w:r w:rsidRPr="00132EF6">
        <w:t>Максимальное количество и площадь помещений, защищаемых одним шлейфом с адресными ПИ, определяется техническими характеристиками ППКП, техническими характеристиками включаемых в шлейф ПИ и не зависит от расположения помещений в здании</w:t>
      </w:r>
      <w:r w:rsidR="00132EF6" w:rsidRPr="00132EF6">
        <w:t xml:space="preserve">. </w:t>
      </w:r>
    </w:p>
    <w:p w:rsidR="00350645" w:rsidRDefault="00350645" w:rsidP="00132EF6"/>
    <w:p w:rsidR="003F4A10" w:rsidRDefault="003F4A10" w:rsidP="00350645">
      <w:pPr>
        <w:pStyle w:val="2"/>
      </w:pPr>
      <w:r w:rsidRPr="00132EF6">
        <w:t>Размещение пожарных извещателей</w:t>
      </w:r>
    </w:p>
    <w:p w:rsidR="00350645" w:rsidRPr="00350645" w:rsidRDefault="00350645" w:rsidP="00350645"/>
    <w:p w:rsidR="003F4A10" w:rsidRPr="00132EF6" w:rsidRDefault="003F4A10" w:rsidP="00132EF6">
      <w:r w:rsidRPr="00132EF6">
        <w:t>1</w:t>
      </w:r>
      <w:r w:rsidR="00132EF6" w:rsidRPr="00132EF6">
        <w:t xml:space="preserve">. </w:t>
      </w:r>
      <w:r w:rsidRPr="00132EF6">
        <w:t>Количество ПИ определяется необходимостью обнаружения пожара по всей площади помещений, а количество ПИ пламени</w:t>
      </w:r>
      <w:r w:rsidR="00132EF6" w:rsidRPr="00132EF6">
        <w:t xml:space="preserve"> - </w:t>
      </w:r>
      <w:r w:rsidRPr="00132EF6">
        <w:t>и площадью оборудования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2</w:t>
      </w:r>
      <w:r w:rsidR="00132EF6" w:rsidRPr="00132EF6">
        <w:t xml:space="preserve">. </w:t>
      </w:r>
      <w:r w:rsidRPr="00132EF6">
        <w:t>В каждом защищаемом помещении следует устанавливать не менее двух ПИ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3</w:t>
      </w:r>
      <w:r w:rsidR="00132EF6" w:rsidRPr="00132EF6">
        <w:t xml:space="preserve">. </w:t>
      </w:r>
      <w:r w:rsidRPr="00132EF6">
        <w:t>В защищаемом помещении допускается устанавливать один ПИ, если одновременно выполняются следующие условия</w:t>
      </w:r>
      <w:r w:rsidR="00132EF6" w:rsidRPr="00132EF6">
        <w:t xml:space="preserve">: </w:t>
      </w:r>
    </w:p>
    <w:p w:rsidR="003F4A10" w:rsidRPr="00132EF6" w:rsidRDefault="003F4A10" w:rsidP="00132EF6">
      <w:r w:rsidRPr="00132EF6">
        <w:t>а</w:t>
      </w:r>
      <w:r w:rsidR="00132EF6" w:rsidRPr="00132EF6">
        <w:t xml:space="preserve">) </w:t>
      </w:r>
      <w:r w:rsidRPr="00132EF6">
        <w:t>обеспечивается контроль ПИ каждой точки защищаемого помещения</w:t>
      </w:r>
      <w:r w:rsidR="00132EF6" w:rsidRPr="00132EF6">
        <w:t xml:space="preserve">; </w:t>
      </w:r>
    </w:p>
    <w:p w:rsidR="003F4A10" w:rsidRPr="00132EF6" w:rsidRDefault="003F4A10" w:rsidP="00132EF6">
      <w:r w:rsidRPr="00132EF6">
        <w:t>б</w:t>
      </w:r>
      <w:r w:rsidR="00132EF6" w:rsidRPr="00132EF6">
        <w:t xml:space="preserve">) </w:t>
      </w:r>
      <w:r w:rsidRPr="00132EF6">
        <w:t>обеспечивается автоматический контроль работоспособности ПИ, подтверждающий выполнение им своих функций с выдачей извещения о неисправности на ППКП</w:t>
      </w:r>
      <w:r w:rsidR="00132EF6" w:rsidRPr="00132EF6">
        <w:t xml:space="preserve">; </w:t>
      </w:r>
    </w:p>
    <w:p w:rsidR="003F4A10" w:rsidRPr="00132EF6" w:rsidRDefault="003F4A10" w:rsidP="00132EF6">
      <w:r w:rsidRPr="00132EF6">
        <w:t>в</w:t>
      </w:r>
      <w:r w:rsidR="00132EF6" w:rsidRPr="00132EF6">
        <w:t xml:space="preserve">) </w:t>
      </w:r>
      <w:r w:rsidRPr="00132EF6">
        <w:t>обеспечивается идентификация неисправного ПИ пожарным приемно-контрольным прибором</w:t>
      </w:r>
      <w:r w:rsidR="00132EF6" w:rsidRPr="00132EF6">
        <w:t xml:space="preserve">; </w:t>
      </w:r>
    </w:p>
    <w:p w:rsidR="003F4A10" w:rsidRPr="00132EF6" w:rsidRDefault="003F4A10" w:rsidP="00132EF6">
      <w:r w:rsidRPr="00132EF6">
        <w:t>г</w:t>
      </w:r>
      <w:r w:rsidR="00132EF6" w:rsidRPr="00132EF6">
        <w:t xml:space="preserve">) </w:t>
      </w:r>
      <w:r w:rsidRPr="00132EF6">
        <w:t>по сигналу с ПИ не формируется сигнал на запуск аппаратуры управления, производящей включение УП, или дымоудаления, или систем оповещения о пожаре типа СО-4, СО-5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Кроме этого должна быть обеспечена возможность замены неисправного ПИ за установленное время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4</w:t>
      </w:r>
      <w:r w:rsidR="00132EF6" w:rsidRPr="00132EF6">
        <w:t xml:space="preserve">. </w:t>
      </w:r>
      <w:r w:rsidRPr="00132EF6">
        <w:t>Точечные ПИ следует устанавливать под перекрытием или подвесными потолками, имеющими сплошную конструкцию</w:t>
      </w:r>
      <w:r w:rsidR="00132EF6" w:rsidRPr="00132EF6">
        <w:t xml:space="preserve">. </w:t>
      </w:r>
      <w:r w:rsidRPr="00132EF6">
        <w:t>В обоснованных случаях допускается их установка на стенах, колоннах и других несущих строительных конструкциях, а также крепление на тросах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При установке точечных ПИ под перекрытием или подвесными потолками, имеющими сплошную конструкцию, их следует размещать на расстоянии не менее 0,1 м от стен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При установке точечных ПИ на стенах, специальной арматуре или креплении на тросах их следует размещать на расстоянии не более 0,3 м от плоскости перекрытия или подвесного потолка, имеющих сплошную конструкцию, включая габариты ПИ</w:t>
      </w:r>
      <w:r w:rsidR="00132EF6" w:rsidRPr="00132EF6">
        <w:t xml:space="preserve">. </w:t>
      </w:r>
    </w:p>
    <w:p w:rsidR="00132EF6" w:rsidRPr="00132EF6" w:rsidRDefault="003F4A10" w:rsidP="00132EF6">
      <w:r w:rsidRPr="00132EF6">
        <w:t>При подвеске ПИ на тросе должно быть обеспечено их устойчивое положение в пространстве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5</w:t>
      </w:r>
      <w:r w:rsidR="00132EF6" w:rsidRPr="00132EF6">
        <w:t xml:space="preserve">. </w:t>
      </w:r>
      <w:r w:rsidRPr="00132EF6">
        <w:t>Размещение точечных тепловых и дымовых ПИ следует производить с учетом воздушных потоков в защищаемом помещении, вызываемых приточной или вытяжной вентиляцией</w:t>
      </w:r>
      <w:r w:rsidR="00132EF6" w:rsidRPr="00132EF6">
        <w:t xml:space="preserve">. </w:t>
      </w:r>
      <w:r w:rsidRPr="00132EF6">
        <w:t>При этом расстояние от ПИ до вентиляционного отверстия должно быть не менее 1 м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6</w:t>
      </w:r>
      <w:r w:rsidR="00132EF6" w:rsidRPr="00132EF6">
        <w:t xml:space="preserve">. </w:t>
      </w:r>
      <w:r w:rsidRPr="00132EF6">
        <w:t xml:space="preserve">Точечные дымовые и тепловые ПИ следует устанавливать в каждом отсеке потолка шириной 0,75 м и более, ограниченном строительными конструкциями (балками, прогонами, ребрами плит и </w:t>
      </w:r>
      <w:r w:rsidR="00132EF6" w:rsidRPr="00132EF6">
        <w:t>т.п.),</w:t>
      </w:r>
      <w:r w:rsidRPr="00132EF6">
        <w:t xml:space="preserve"> выступающими от потолка на расстояние более 0,4 м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Если строительные конструкции выступают от потолка на расстояние более 0,4 м, а образуемые ими отсеки по ширине меньше 0</w:t>
      </w:r>
      <w:r w:rsidR="00132EF6" w:rsidRPr="00132EF6">
        <w:t>.7</w:t>
      </w:r>
      <w:r w:rsidRPr="00132EF6">
        <w:t>5 м, расстояние от ПИ до края зоны контроля за этими конструкциями уменьшается на 40</w:t>
      </w:r>
      <w:r w:rsidR="00132EF6" w:rsidRPr="00132EF6">
        <w:t xml:space="preserve">%. </w:t>
      </w:r>
    </w:p>
    <w:p w:rsidR="003F4A10" w:rsidRPr="00132EF6" w:rsidRDefault="003F4A10" w:rsidP="00132EF6">
      <w:r w:rsidRPr="00132EF6">
        <w:t xml:space="preserve">При наличии на потолке выступающих частей от 0,08 до 0,40 м расстояние от ПИ до края </w:t>
      </w:r>
    </w:p>
    <w:p w:rsidR="003F4A10" w:rsidRPr="00132EF6" w:rsidRDefault="003F4A10" w:rsidP="00132EF6">
      <w:r w:rsidRPr="00132EF6">
        <w:t>зоны контроля за этими конструкциями уменьшается на 25</w:t>
      </w:r>
      <w:r w:rsidR="00132EF6" w:rsidRPr="00132EF6">
        <w:t xml:space="preserve">%. </w:t>
      </w:r>
    </w:p>
    <w:p w:rsidR="003F4A10" w:rsidRPr="00132EF6" w:rsidRDefault="003F4A10" w:rsidP="00132EF6">
      <w:r w:rsidRPr="00132EF6">
        <w:t>При наличии в контролируемом помещении коробов, технологических площадок шириной 0,75 м и более, имеющих сплошную конструкцию, отстоящую по нижней отметке от потолка на расстоянии более 0,4 м и не менее 1,3 м от плоскости пола, под ними необходимо дополнительно устанавливать ПИ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7</w:t>
      </w:r>
      <w:r w:rsidR="00132EF6" w:rsidRPr="00132EF6">
        <w:t xml:space="preserve">. </w:t>
      </w:r>
      <w:r w:rsidRPr="00132EF6">
        <w:t>Точечные дымовые и тепловые ПИ следует устанавливать в каждом отсеке помещения, образованном штабелями материалов, стеллажами, оборудованием и строительными конструкциями, верхние отметки которых отстоят от потолка на 0,6 м и менее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8</w:t>
      </w:r>
      <w:r w:rsidR="00132EF6" w:rsidRPr="00132EF6">
        <w:t xml:space="preserve">. </w:t>
      </w:r>
      <w:r w:rsidRPr="00132EF6">
        <w:t>При установке точечных дымовых ПИ в помещениях шириной менее 3 м или под фальшполом, или над фальшпотолком или в других пространствах высотой менее 1,7 м расстояния, указанные в таблице 8</w:t>
      </w:r>
      <w:r w:rsidR="00132EF6" w:rsidRPr="00132EF6">
        <w:t>.1</w:t>
      </w:r>
      <w:r w:rsidRPr="00132EF6">
        <w:t>, допускается увеличивать в 1,5 раза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9</w:t>
      </w:r>
      <w:r w:rsidR="00132EF6" w:rsidRPr="00132EF6">
        <w:t xml:space="preserve">. </w:t>
      </w:r>
      <w:r w:rsidRPr="00132EF6">
        <w:t>ПИ, установленные под фальшполом или над фальшпотолком, должны быть адресными либо подключены к самостоятельным шлейфам СПС, и должна быть обеспечена возможность определения их места расположения</w:t>
      </w:r>
      <w:r w:rsidR="00132EF6" w:rsidRPr="00132EF6">
        <w:t xml:space="preserve">. </w:t>
      </w:r>
      <w:r w:rsidRPr="00132EF6">
        <w:t>Конструкция фальшпола или фальшпотолка должна обеспечивать доступ к ПИ для их обслуживания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10</w:t>
      </w:r>
      <w:r w:rsidR="00132EF6" w:rsidRPr="00132EF6">
        <w:t xml:space="preserve">. </w:t>
      </w:r>
      <w:r w:rsidRPr="00132EF6">
        <w:t>В местах, где имеется опасность механического повреждения ПИ, должна быть предусмотрена защитная конструкция, не влияющая на его работоспособность</w:t>
      </w:r>
      <w:r w:rsidR="00132EF6" w:rsidRPr="00132EF6">
        <w:t xml:space="preserve">. </w:t>
      </w:r>
    </w:p>
    <w:p w:rsidR="00132EF6" w:rsidRPr="00132EF6" w:rsidRDefault="003F4A10" w:rsidP="00132EF6">
      <w:r w:rsidRPr="00132EF6">
        <w:t>11</w:t>
      </w:r>
      <w:r w:rsidR="00132EF6" w:rsidRPr="00132EF6">
        <w:t xml:space="preserve">. </w:t>
      </w:r>
      <w:r w:rsidRPr="00132EF6">
        <w:t>В случае установки в одной зоне контроля разнотипных ПИ их размещение производится в соответствии с требованиями настоящих строительных норм на каждый тип ПИ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Точечные дымовые ПИ</w:t>
      </w:r>
    </w:p>
    <w:p w:rsidR="00132EF6" w:rsidRPr="00132EF6" w:rsidRDefault="003F4A10" w:rsidP="00132EF6">
      <w:r w:rsidRPr="00132EF6">
        <w:t>Значения величин площади, контролируемой одним точечным дымовым ПИ, а также максимального расстояния между ПИ и ПИ и стеной принимаются согласно таблице 1, но не должны превышать значений величин, указанных в технических условиях и паспортах на ПИ</w:t>
      </w:r>
      <w:r w:rsidR="00132EF6" w:rsidRPr="00132EF6">
        <w:t xml:space="preserve">. </w:t>
      </w:r>
    </w:p>
    <w:p w:rsidR="00350645" w:rsidRDefault="00350645" w:rsidP="00132EF6"/>
    <w:p w:rsidR="003F4A10" w:rsidRPr="00132EF6" w:rsidRDefault="003F4A10" w:rsidP="00132EF6">
      <w:r w:rsidRPr="00132EF6">
        <w:t>Таблица 1</w:t>
      </w:r>
      <w:r w:rsidR="00350645">
        <w:t>.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14"/>
        <w:gridCol w:w="2636"/>
        <w:gridCol w:w="1664"/>
        <w:gridCol w:w="2221"/>
      </w:tblGrid>
      <w:tr w:rsidR="003F4A10" w:rsidRPr="00132EF6">
        <w:trPr>
          <w:trHeight w:hRule="exact" w:val="288"/>
        </w:trPr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Высота защищаемого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Средняя площадь</w:t>
            </w:r>
          </w:p>
        </w:tc>
        <w:tc>
          <w:tcPr>
            <w:tcW w:w="20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Максимальное расстояние, м</w:t>
            </w:r>
          </w:p>
        </w:tc>
      </w:tr>
      <w:tr w:rsidR="003F4A10" w:rsidRPr="00132EF6">
        <w:trPr>
          <w:trHeight w:hRule="exact" w:val="645"/>
        </w:trPr>
        <w:tc>
          <w:tcPr>
            <w:tcW w:w="15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помещения, м2</w:t>
            </w:r>
          </w:p>
        </w:tc>
        <w:tc>
          <w:tcPr>
            <w:tcW w:w="13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контрол</w:t>
            </w:r>
            <w:r w:rsidR="00132EF6" w:rsidRPr="00132EF6">
              <w:t xml:space="preserve">. </w:t>
            </w:r>
            <w:r w:rsidRPr="00132EF6">
              <w:t>одним ПИ, м2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между ПИ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от ПИ до стены</w:t>
            </w:r>
          </w:p>
        </w:tc>
      </w:tr>
      <w:tr w:rsidR="003F4A10" w:rsidRPr="00132EF6">
        <w:trPr>
          <w:trHeight w:hRule="exact" w:val="269"/>
        </w:trPr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До 3,5 включ</w:t>
            </w:r>
            <w:r w:rsidR="00132EF6" w:rsidRPr="00132EF6">
              <w:t xml:space="preserve">. 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До 85 включ</w:t>
            </w:r>
            <w:r w:rsidR="00132EF6" w:rsidRPr="00132EF6">
              <w:t xml:space="preserve">. 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9,0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4,5</w:t>
            </w:r>
          </w:p>
        </w:tc>
      </w:tr>
      <w:tr w:rsidR="003F4A10" w:rsidRPr="00132EF6">
        <w:trPr>
          <w:trHeight w:hRule="exact" w:val="230"/>
        </w:trPr>
        <w:tc>
          <w:tcPr>
            <w:tcW w:w="1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3,5</w:t>
            </w:r>
            <w:r w:rsidR="00132EF6" w:rsidRPr="00132EF6">
              <w:t xml:space="preserve"> - </w:t>
            </w:r>
            <w:r w:rsidRPr="00132EF6">
              <w:t>6,0</w:t>
            </w:r>
          </w:p>
        </w:tc>
        <w:tc>
          <w:tcPr>
            <w:tcW w:w="13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"</w:t>
            </w:r>
            <w:r w:rsidR="00132EF6" w:rsidRPr="00132EF6">
              <w:t xml:space="preserve"> </w:t>
            </w:r>
            <w:r w:rsidRPr="00132EF6">
              <w:t>70</w:t>
            </w:r>
          </w:p>
        </w:tc>
        <w:tc>
          <w:tcPr>
            <w:tcW w:w="8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8,5</w:t>
            </w:r>
          </w:p>
        </w:tc>
        <w:tc>
          <w:tcPr>
            <w:tcW w:w="11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4,0</w:t>
            </w:r>
          </w:p>
        </w:tc>
      </w:tr>
      <w:tr w:rsidR="003F4A10" w:rsidRPr="00132EF6">
        <w:trPr>
          <w:trHeight w:hRule="exact" w:val="240"/>
        </w:trPr>
        <w:tc>
          <w:tcPr>
            <w:tcW w:w="1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6,0</w:t>
            </w:r>
            <w:r w:rsidR="00132EF6" w:rsidRPr="00132EF6">
              <w:t xml:space="preserve"> - </w:t>
            </w:r>
            <w:r w:rsidRPr="00132EF6">
              <w:t>10,0</w:t>
            </w:r>
          </w:p>
        </w:tc>
        <w:tc>
          <w:tcPr>
            <w:tcW w:w="13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"</w:t>
            </w:r>
            <w:r w:rsidR="00132EF6" w:rsidRPr="00132EF6">
              <w:t xml:space="preserve"> </w:t>
            </w:r>
            <w:r w:rsidRPr="00132EF6">
              <w:t>65</w:t>
            </w:r>
          </w:p>
        </w:tc>
        <w:tc>
          <w:tcPr>
            <w:tcW w:w="8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8,0</w:t>
            </w:r>
          </w:p>
        </w:tc>
        <w:tc>
          <w:tcPr>
            <w:tcW w:w="11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4,0</w:t>
            </w:r>
          </w:p>
        </w:tc>
      </w:tr>
      <w:tr w:rsidR="003F4A10" w:rsidRPr="00132EF6">
        <w:trPr>
          <w:trHeight w:hRule="exact" w:val="307"/>
        </w:trPr>
        <w:tc>
          <w:tcPr>
            <w:tcW w:w="15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10,0</w:t>
            </w:r>
            <w:r w:rsidR="00132EF6" w:rsidRPr="00132EF6">
              <w:t xml:space="preserve"> - </w:t>
            </w:r>
            <w:r w:rsidRPr="00132EF6">
              <w:t>12,0</w:t>
            </w:r>
          </w:p>
        </w:tc>
        <w:tc>
          <w:tcPr>
            <w:tcW w:w="13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"</w:t>
            </w:r>
            <w:r w:rsidR="00132EF6" w:rsidRPr="00132EF6">
              <w:t xml:space="preserve"> </w:t>
            </w:r>
            <w:r w:rsidRPr="00132EF6">
              <w:t>55</w:t>
            </w:r>
          </w:p>
        </w:tc>
        <w:tc>
          <w:tcPr>
            <w:tcW w:w="8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7,5</w:t>
            </w:r>
          </w:p>
        </w:tc>
        <w:tc>
          <w:tcPr>
            <w:tcW w:w="11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350645">
            <w:pPr>
              <w:pStyle w:val="af4"/>
            </w:pPr>
            <w:r w:rsidRPr="00132EF6">
              <w:t>3,5</w:t>
            </w:r>
          </w:p>
        </w:tc>
      </w:tr>
    </w:tbl>
    <w:p w:rsidR="003F4A10" w:rsidRPr="00132EF6" w:rsidRDefault="003F4A10" w:rsidP="00132EF6"/>
    <w:p w:rsidR="003F4A10" w:rsidRPr="00132EF6" w:rsidRDefault="003F4A10" w:rsidP="00350645">
      <w:pPr>
        <w:pStyle w:val="2"/>
      </w:pPr>
      <w:r w:rsidRPr="00132EF6">
        <w:t>Точечные тепловые ПИ</w:t>
      </w:r>
    </w:p>
    <w:p w:rsidR="00350645" w:rsidRDefault="00350645" w:rsidP="00132EF6"/>
    <w:p w:rsidR="003F4A10" w:rsidRPr="00132EF6" w:rsidRDefault="003F4A10" w:rsidP="00132EF6">
      <w:r w:rsidRPr="00132EF6">
        <w:t>1</w:t>
      </w:r>
      <w:r w:rsidR="00132EF6" w:rsidRPr="00132EF6">
        <w:t xml:space="preserve">. </w:t>
      </w:r>
      <w:r w:rsidRPr="00132EF6">
        <w:t>Значения величин площади, контролируемой одним точечным тепловым ПИ, а также максимального расстояния между ПИ и ПИ и стеной при квадратной схеме размещения ПИ на потолке без выступающих частей принимаются согласно таблице 2, но не должны превышать значений величин, указанных в технических условиях и паспортах на ПИ</w:t>
      </w:r>
      <w:r w:rsidR="00132EF6" w:rsidRPr="00132EF6">
        <w:t xml:space="preserve">. </w:t>
      </w:r>
    </w:p>
    <w:p w:rsidR="00132EF6" w:rsidRPr="00132EF6" w:rsidRDefault="003F4A10" w:rsidP="00132EF6">
      <w:r w:rsidRPr="00132EF6">
        <w:t>2</w:t>
      </w:r>
      <w:r w:rsidR="00132EF6" w:rsidRPr="00132EF6">
        <w:t xml:space="preserve">. </w:t>
      </w:r>
      <w:r w:rsidRPr="00132EF6">
        <w:t>Точечные тепловые ПИ следует располагать на расстоянии не менее 500 мм от теплоизлучающих светильников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Таблица 2</w:t>
      </w:r>
    </w:p>
    <w:p w:rsidR="003F4A10" w:rsidRPr="00132EF6" w:rsidRDefault="003F4A10" w:rsidP="00132EF6"/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1"/>
        <w:gridCol w:w="2636"/>
        <w:gridCol w:w="2359"/>
        <w:gridCol w:w="2359"/>
      </w:tblGrid>
      <w:tr w:rsidR="003F4A10" w:rsidRPr="00132EF6" w:rsidTr="00A4079D">
        <w:trPr>
          <w:trHeight w:hRule="exact" w:val="288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Высота защищаемого помещения, м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Средняя площадь, контролируемая одним ПИ</w:t>
            </w:r>
            <w:r w:rsidR="00132EF6" w:rsidRPr="00132EF6">
              <w:t xml:space="preserve">. </w:t>
            </w:r>
            <w:r w:rsidRPr="00132EF6">
              <w:t>мг</w:t>
            </w:r>
          </w:p>
        </w:tc>
        <w:tc>
          <w:tcPr>
            <w:tcW w:w="25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Максимальное расстояние, м</w:t>
            </w:r>
          </w:p>
        </w:tc>
      </w:tr>
      <w:tr w:rsidR="003F4A10" w:rsidRPr="00132EF6" w:rsidTr="00A4079D">
        <w:trPr>
          <w:trHeight w:hRule="exact" w:val="808"/>
        </w:trPr>
        <w:tc>
          <w:tcPr>
            <w:tcW w:w="110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защищаемого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помещения, м</w:t>
            </w:r>
          </w:p>
          <w:p w:rsidR="003F4A10" w:rsidRPr="00132EF6" w:rsidRDefault="003F4A10" w:rsidP="00A4079D">
            <w:pPr>
              <w:pStyle w:val="af4"/>
            </w:pPr>
          </w:p>
        </w:tc>
        <w:tc>
          <w:tcPr>
            <w:tcW w:w="13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контролируемая одним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ПИ, м2</w:t>
            </w:r>
          </w:p>
          <w:p w:rsidR="003F4A10" w:rsidRPr="00132EF6" w:rsidRDefault="003F4A10" w:rsidP="00A4079D">
            <w:pPr>
              <w:pStyle w:val="af4"/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между ПИ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от ПИ до стены</w:t>
            </w:r>
          </w:p>
        </w:tc>
      </w:tr>
      <w:tr w:rsidR="003F4A10" w:rsidRPr="00132EF6" w:rsidTr="00A4079D">
        <w:trPr>
          <w:trHeight w:hRule="exact" w:val="1127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EF6" w:rsidRPr="00132EF6" w:rsidRDefault="003F4A10" w:rsidP="00A4079D">
            <w:pPr>
              <w:pStyle w:val="af4"/>
            </w:pPr>
            <w:r w:rsidRPr="00132EF6">
              <w:t>До 3,5 включ</w:t>
            </w:r>
            <w:r w:rsidR="00132EF6" w:rsidRPr="00132EF6">
              <w:t xml:space="preserve">. . 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3,5</w:t>
            </w:r>
            <w:r w:rsidR="00132EF6" w:rsidRPr="00132EF6">
              <w:t xml:space="preserve"> - </w:t>
            </w:r>
            <w:r w:rsidRPr="00132EF6">
              <w:t>6,0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6,0</w:t>
            </w:r>
            <w:r w:rsidR="00132EF6" w:rsidRPr="00132EF6">
              <w:t xml:space="preserve"> - </w:t>
            </w:r>
            <w:r w:rsidRPr="00132EF6">
              <w:t>9,0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>До 25 включ</w:t>
            </w:r>
            <w:r w:rsidR="00132EF6" w:rsidRPr="00132EF6">
              <w:t xml:space="preserve">. 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20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4A10" w:rsidRPr="00132EF6" w:rsidRDefault="003F4A10" w:rsidP="00A4079D">
            <w:pPr>
              <w:pStyle w:val="af4"/>
            </w:pPr>
            <w:r w:rsidRPr="00132EF6">
              <w:t xml:space="preserve">5,0 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 xml:space="preserve">4,5 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4,0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EF6" w:rsidRPr="00132EF6" w:rsidRDefault="003F4A10" w:rsidP="00A4079D">
            <w:pPr>
              <w:pStyle w:val="af4"/>
            </w:pPr>
            <w:r w:rsidRPr="00132EF6">
              <w:t>2,5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 xml:space="preserve">2,0 </w:t>
            </w:r>
          </w:p>
          <w:p w:rsidR="003F4A10" w:rsidRPr="00132EF6" w:rsidRDefault="003F4A10" w:rsidP="00A4079D">
            <w:pPr>
              <w:pStyle w:val="af4"/>
            </w:pPr>
            <w:r w:rsidRPr="00132EF6">
              <w:t>2</w:t>
            </w:r>
            <w:r w:rsidR="00132EF6" w:rsidRPr="00132EF6">
              <w:t>.0</w:t>
            </w:r>
          </w:p>
        </w:tc>
      </w:tr>
    </w:tbl>
    <w:p w:rsidR="003F4A10" w:rsidRPr="00132EF6" w:rsidRDefault="003F4A10" w:rsidP="00132EF6"/>
    <w:p w:rsidR="003F4A10" w:rsidRPr="00132EF6" w:rsidRDefault="003F4A10" w:rsidP="00132EF6">
      <w:r w:rsidRPr="00132EF6">
        <w:t>Ручные ПИ</w:t>
      </w:r>
    </w:p>
    <w:p w:rsidR="003F4A10" w:rsidRPr="00132EF6" w:rsidRDefault="003F4A10" w:rsidP="00132EF6">
      <w:r w:rsidRPr="00132EF6">
        <w:t>1</w:t>
      </w:r>
      <w:r w:rsidR="00132EF6" w:rsidRPr="00132EF6">
        <w:t xml:space="preserve">. </w:t>
      </w:r>
      <w:r w:rsidRPr="00132EF6">
        <w:t>Ручные ПИ следует устанавливать внутри и вне зданий и сооружений на стенах и конструкциях на высоте 1,5 м от уровня земли или пола, в легкодоступных местах</w:t>
      </w:r>
      <w:r w:rsidR="00132EF6" w:rsidRPr="00132EF6">
        <w:t xml:space="preserve">. </w:t>
      </w:r>
    </w:p>
    <w:p w:rsidR="003F4A10" w:rsidRPr="00132EF6" w:rsidRDefault="003F4A10" w:rsidP="00132EF6">
      <w:r w:rsidRPr="00132EF6">
        <w:t>2</w:t>
      </w:r>
      <w:r w:rsidR="00132EF6" w:rsidRPr="00132EF6">
        <w:t xml:space="preserve">. </w:t>
      </w:r>
      <w:r w:rsidRPr="00132EF6">
        <w:t>Ручные ПИ следует устанавливать в местах, удаленных от электромагнитов, постоянных магнитов и других устройств, воздействие которых может вызвать самопроизвольное срабатывание ручного ПИ (требование распространяется на ручные ПИ, срабатывание которых происходит при переключении магнитоуправляемого контакта</w:t>
      </w:r>
      <w:r w:rsidR="00132EF6" w:rsidRPr="00132EF6">
        <w:t>),</w:t>
      </w:r>
      <w:r w:rsidRPr="00132EF6">
        <w:t xml:space="preserve"> на расстоянии, м</w:t>
      </w:r>
      <w:r w:rsidR="00132EF6" w:rsidRPr="00132EF6">
        <w:t xml:space="preserve">: </w:t>
      </w:r>
    </w:p>
    <w:p w:rsidR="003F4A10" w:rsidRPr="00132EF6" w:rsidRDefault="003F4A10" w:rsidP="00350645">
      <w:pPr>
        <w:pStyle w:val="a0"/>
      </w:pPr>
      <w:r w:rsidRPr="00132EF6">
        <w:t>не менее 0,5</w:t>
      </w:r>
      <w:r w:rsidR="00132EF6" w:rsidRPr="00132EF6">
        <w:t xml:space="preserve"> - </w:t>
      </w:r>
      <w:r w:rsidRPr="00132EF6">
        <w:t>от органов управления различным электрооборудованием (выключателей, переключателей</w:t>
      </w:r>
      <w:r w:rsidR="00132EF6" w:rsidRPr="00132EF6">
        <w:t xml:space="preserve">); </w:t>
      </w:r>
    </w:p>
    <w:p w:rsidR="003F4A10" w:rsidRPr="00132EF6" w:rsidRDefault="003F4A10" w:rsidP="00350645">
      <w:pPr>
        <w:pStyle w:val="a0"/>
      </w:pPr>
      <w:r w:rsidRPr="00132EF6">
        <w:t>не менее 0,75</w:t>
      </w:r>
      <w:r w:rsidR="00132EF6" w:rsidRPr="00132EF6">
        <w:t xml:space="preserve"> - </w:t>
      </w:r>
      <w:r w:rsidRPr="00132EF6">
        <w:t>от различных предметов, мебели, оборудования</w:t>
      </w:r>
      <w:r w:rsidR="00132EF6" w:rsidRPr="00132EF6">
        <w:t xml:space="preserve">; </w:t>
      </w:r>
    </w:p>
    <w:p w:rsidR="003F4A10" w:rsidRPr="00132EF6" w:rsidRDefault="003F4A10" w:rsidP="00350645">
      <w:pPr>
        <w:pStyle w:val="a0"/>
      </w:pPr>
      <w:r w:rsidRPr="00132EF6">
        <w:t>не более 50</w:t>
      </w:r>
      <w:r w:rsidR="00132EF6" w:rsidRPr="00132EF6">
        <w:t xml:space="preserve"> - </w:t>
      </w:r>
      <w:r w:rsidRPr="00132EF6">
        <w:t>друг от друга внутри зданий</w:t>
      </w:r>
      <w:r w:rsidR="00132EF6" w:rsidRPr="00132EF6">
        <w:t xml:space="preserve">: </w:t>
      </w:r>
    </w:p>
    <w:p w:rsidR="003F4A10" w:rsidRPr="00132EF6" w:rsidRDefault="003F4A10" w:rsidP="00350645">
      <w:pPr>
        <w:pStyle w:val="a0"/>
      </w:pPr>
      <w:r w:rsidRPr="00132EF6">
        <w:t>не более 150</w:t>
      </w:r>
      <w:r w:rsidR="00132EF6" w:rsidRPr="00132EF6">
        <w:t xml:space="preserve"> - </w:t>
      </w:r>
      <w:r w:rsidRPr="00132EF6">
        <w:t>Друг от друга вне зданий</w:t>
      </w:r>
    </w:p>
    <w:p w:rsidR="00132EF6" w:rsidRPr="00132EF6" w:rsidRDefault="003F4A10" w:rsidP="00132EF6">
      <w:r w:rsidRPr="00132EF6">
        <w:t>3</w:t>
      </w:r>
      <w:r w:rsidR="00132EF6" w:rsidRPr="00132EF6">
        <w:t xml:space="preserve">. </w:t>
      </w:r>
      <w:r w:rsidRPr="00132EF6">
        <w:t>Ручные ПИ должны устанавливаться в местах, имеющих искусственное освещение</w:t>
      </w:r>
      <w:r w:rsidR="00132EF6" w:rsidRPr="00132EF6">
        <w:t xml:space="preserve">. </w:t>
      </w:r>
    </w:p>
    <w:p w:rsidR="004967EB" w:rsidRPr="00132EF6" w:rsidRDefault="00DC4217" w:rsidP="00350645">
      <w:pPr>
        <w:pStyle w:val="2"/>
      </w:pPr>
      <w:r w:rsidRPr="00132EF6">
        <w:br w:type="page"/>
        <w:t>ЛИТЕРАТУРА</w:t>
      </w:r>
    </w:p>
    <w:p w:rsidR="00350645" w:rsidRDefault="00350645" w:rsidP="00132EF6"/>
    <w:p w:rsidR="00DC4217" w:rsidRPr="00132EF6" w:rsidRDefault="00132EF6" w:rsidP="00350645">
      <w:pPr>
        <w:pStyle w:val="a1"/>
      </w:pPr>
      <w:r>
        <w:t>Барсуков</w:t>
      </w:r>
      <w:r w:rsidR="00DC4217" w:rsidRPr="00132EF6">
        <w:t xml:space="preserve"> В</w:t>
      </w:r>
      <w:r>
        <w:t xml:space="preserve">.С. </w:t>
      </w:r>
      <w:r w:rsidR="00DC4217" w:rsidRPr="00132EF6">
        <w:t>Безопасность</w:t>
      </w:r>
      <w:r w:rsidRPr="00132EF6">
        <w:t xml:space="preserve">: </w:t>
      </w:r>
      <w:r w:rsidR="00DC4217" w:rsidRPr="00132EF6">
        <w:t>технологии, средства, услуги / В</w:t>
      </w:r>
      <w:r>
        <w:t xml:space="preserve">.С. </w:t>
      </w:r>
      <w:r w:rsidR="00DC4217" w:rsidRPr="00132EF6">
        <w:t>Барсуков</w:t>
      </w:r>
      <w:r w:rsidRPr="00132EF6">
        <w:t xml:space="preserve">. </w:t>
      </w:r>
      <w:r w:rsidR="00DC4217" w:rsidRPr="00132EF6">
        <w:t>– М</w:t>
      </w:r>
      <w:r w:rsidRPr="00132EF6">
        <w:t>., 20</w:t>
      </w:r>
      <w:r w:rsidR="00DC4217" w:rsidRPr="00132EF6">
        <w:t>01 – 496 с</w:t>
      </w:r>
      <w:r w:rsidRPr="00132EF6">
        <w:t xml:space="preserve">. </w:t>
      </w:r>
    </w:p>
    <w:p w:rsidR="00DC4217" w:rsidRPr="00132EF6" w:rsidRDefault="00132EF6" w:rsidP="00350645">
      <w:pPr>
        <w:pStyle w:val="a1"/>
      </w:pPr>
      <w:r>
        <w:t>Ярочкин</w:t>
      </w:r>
      <w:r w:rsidR="00DC4217" w:rsidRPr="00132EF6">
        <w:t xml:space="preserve"> В</w:t>
      </w:r>
      <w:r>
        <w:t xml:space="preserve">.И. </w:t>
      </w:r>
      <w:r w:rsidR="00DC4217" w:rsidRPr="00132EF6">
        <w:t>Информационная безопасность</w:t>
      </w:r>
      <w:r w:rsidRPr="00132EF6">
        <w:t xml:space="preserve">. </w:t>
      </w:r>
      <w:r w:rsidR="00DC4217" w:rsidRPr="00132EF6">
        <w:t>Учебник для студентов вузов / 3-е</w:t>
      </w:r>
      <w:r w:rsidRPr="00132EF6">
        <w:t xml:space="preserve"> </w:t>
      </w:r>
      <w:r w:rsidR="00DC4217" w:rsidRPr="00132EF6">
        <w:t>изд</w:t>
      </w:r>
      <w:r w:rsidRPr="00132EF6">
        <w:t xml:space="preserve">. </w:t>
      </w:r>
      <w:r w:rsidR="00DC4217" w:rsidRPr="00132EF6">
        <w:t>– М</w:t>
      </w:r>
      <w:r w:rsidRPr="00132EF6">
        <w:t xml:space="preserve">.: </w:t>
      </w:r>
      <w:r w:rsidR="00DC4217" w:rsidRPr="00132EF6">
        <w:t>Академический проект</w:t>
      </w:r>
      <w:r w:rsidRPr="00132EF6">
        <w:t xml:space="preserve">: </w:t>
      </w:r>
      <w:r w:rsidR="00DC4217" w:rsidRPr="00132EF6">
        <w:t>Трикста, 2005</w:t>
      </w:r>
      <w:r w:rsidRPr="00132EF6">
        <w:t xml:space="preserve">. </w:t>
      </w:r>
      <w:r w:rsidR="00DC4217" w:rsidRPr="00132EF6">
        <w:t>– 544 с</w:t>
      </w:r>
      <w:r w:rsidRPr="00132EF6">
        <w:t xml:space="preserve">. </w:t>
      </w:r>
    </w:p>
    <w:p w:rsidR="00DC4217" w:rsidRPr="00132EF6" w:rsidRDefault="00132EF6" w:rsidP="00350645">
      <w:pPr>
        <w:pStyle w:val="a1"/>
      </w:pPr>
      <w:r>
        <w:t>Барсуков</w:t>
      </w:r>
      <w:r w:rsidR="00DC4217" w:rsidRPr="00132EF6">
        <w:t xml:space="preserve"> В</w:t>
      </w:r>
      <w:r>
        <w:t xml:space="preserve">.С. </w:t>
      </w:r>
      <w:r w:rsidR="00DC4217" w:rsidRPr="00132EF6">
        <w:t>Современные технологии безопасности / В</w:t>
      </w:r>
      <w:r>
        <w:t xml:space="preserve">.С. </w:t>
      </w:r>
      <w:r w:rsidR="00DC4217" w:rsidRPr="00132EF6">
        <w:t>Барсуков, В</w:t>
      </w:r>
      <w:r>
        <w:t xml:space="preserve">.В. </w:t>
      </w:r>
      <w:r w:rsidR="00DC4217" w:rsidRPr="00132EF6">
        <w:t>Водолазский</w:t>
      </w:r>
      <w:r w:rsidRPr="00132EF6">
        <w:t xml:space="preserve">. </w:t>
      </w:r>
      <w:r w:rsidR="00DC4217" w:rsidRPr="00132EF6">
        <w:t>– М</w:t>
      </w:r>
      <w:r w:rsidRPr="00132EF6">
        <w:t xml:space="preserve">.: </w:t>
      </w:r>
      <w:r w:rsidR="00DC4217" w:rsidRPr="00132EF6">
        <w:t>Нолидж, 2000</w:t>
      </w:r>
      <w:r w:rsidRPr="00132EF6">
        <w:t xml:space="preserve">. </w:t>
      </w:r>
      <w:r w:rsidR="00DC4217" w:rsidRPr="00132EF6">
        <w:t>– 496 с</w:t>
      </w:r>
      <w:r w:rsidRPr="00132EF6">
        <w:t>.,</w:t>
      </w:r>
      <w:r w:rsidR="00DC4217" w:rsidRPr="00132EF6">
        <w:t xml:space="preserve"> ил</w:t>
      </w:r>
      <w:r w:rsidRPr="00132EF6">
        <w:t xml:space="preserve">. </w:t>
      </w:r>
    </w:p>
    <w:p w:rsidR="00DC4217" w:rsidRPr="00132EF6" w:rsidRDefault="00DC4217" w:rsidP="00350645">
      <w:pPr>
        <w:pStyle w:val="a1"/>
      </w:pPr>
      <w:r w:rsidRPr="00132EF6">
        <w:t>Зегжда Д</w:t>
      </w:r>
      <w:r w:rsidR="00132EF6">
        <w:t xml:space="preserve">.П. </w:t>
      </w:r>
      <w:r w:rsidRPr="00132EF6">
        <w:t>Основы безопасности информационных систем / Д</w:t>
      </w:r>
      <w:r w:rsidR="00132EF6">
        <w:t xml:space="preserve">.П. </w:t>
      </w:r>
      <w:r w:rsidRPr="00132EF6">
        <w:t>Зегжда, А</w:t>
      </w:r>
      <w:r w:rsidR="00132EF6">
        <w:t xml:space="preserve">.М. </w:t>
      </w:r>
      <w:r w:rsidRPr="00132EF6">
        <w:t>Ивашко</w:t>
      </w:r>
      <w:r w:rsidR="00132EF6" w:rsidRPr="00132EF6">
        <w:t xml:space="preserve">. - </w:t>
      </w:r>
      <w:r w:rsidRPr="00132EF6">
        <w:t>М</w:t>
      </w:r>
      <w:r w:rsidR="00132EF6" w:rsidRPr="00132EF6">
        <w:t xml:space="preserve">.: </w:t>
      </w:r>
      <w:r w:rsidRPr="00132EF6">
        <w:t>Горячая линия –</w:t>
      </w:r>
      <w:r w:rsidR="00132EF6">
        <w:t xml:space="preserve"> </w:t>
      </w:r>
      <w:r w:rsidRPr="00132EF6">
        <w:t>Телеком, 2000</w:t>
      </w:r>
      <w:r w:rsidR="00132EF6" w:rsidRPr="00132EF6">
        <w:t xml:space="preserve">. - </w:t>
      </w:r>
      <w:r w:rsidRPr="00132EF6">
        <w:t>452 с</w:t>
      </w:r>
      <w:r w:rsidR="00132EF6" w:rsidRPr="00132EF6">
        <w:t>.,</w:t>
      </w:r>
      <w:r w:rsidRPr="00132EF6">
        <w:t xml:space="preserve"> ил</w:t>
      </w:r>
    </w:p>
    <w:p w:rsidR="00132EF6" w:rsidRDefault="00DC4217" w:rsidP="00350645">
      <w:pPr>
        <w:pStyle w:val="a1"/>
      </w:pPr>
      <w:r w:rsidRPr="00132EF6">
        <w:t>Компьютерная преступность и информационная безопасность / А</w:t>
      </w:r>
      <w:r w:rsidR="00132EF6">
        <w:t xml:space="preserve">.П. </w:t>
      </w:r>
      <w:r w:rsidRPr="00132EF6">
        <w:t>Леонов</w:t>
      </w:r>
      <w:r w:rsidR="00132EF6" w:rsidRPr="00132EF6">
        <w:t xml:space="preserve"> [</w:t>
      </w:r>
      <w:r w:rsidRPr="00132EF6">
        <w:t xml:space="preserve">и </w:t>
      </w:r>
      <w:r w:rsidR="00132EF6">
        <w:t>др.]</w:t>
      </w:r>
      <w:r w:rsidR="00132EF6" w:rsidRPr="00132EF6">
        <w:t xml:space="preserve">; </w:t>
      </w:r>
      <w:r w:rsidRPr="00132EF6">
        <w:t>под общ</w:t>
      </w:r>
      <w:r w:rsidR="00132EF6" w:rsidRPr="00132EF6">
        <w:t xml:space="preserve">. </w:t>
      </w:r>
      <w:r w:rsidRPr="00132EF6">
        <w:t>Ред</w:t>
      </w:r>
      <w:r w:rsidR="00132EF6">
        <w:t xml:space="preserve">.А.П. </w:t>
      </w:r>
      <w:r w:rsidRPr="00132EF6">
        <w:t>Леонова</w:t>
      </w:r>
      <w:r w:rsidR="00132EF6" w:rsidRPr="00132EF6">
        <w:t xml:space="preserve">. </w:t>
      </w:r>
      <w:r w:rsidRPr="00132EF6">
        <w:t>– Минск</w:t>
      </w:r>
      <w:r w:rsidR="00132EF6" w:rsidRPr="00132EF6">
        <w:t xml:space="preserve">: </w:t>
      </w:r>
      <w:r w:rsidRPr="00132EF6">
        <w:t>АРИЛ, 2000</w:t>
      </w:r>
      <w:r w:rsidR="00132EF6" w:rsidRPr="00132EF6">
        <w:t xml:space="preserve">. </w:t>
      </w:r>
      <w:r w:rsidRPr="00132EF6">
        <w:t>– 552 с</w:t>
      </w:r>
      <w:r w:rsidR="00132EF6" w:rsidRPr="00132EF6">
        <w:t xml:space="preserve">. </w:t>
      </w:r>
    </w:p>
    <w:p w:rsidR="00DC4217" w:rsidRPr="00132EF6" w:rsidRDefault="00DC4217" w:rsidP="00132EF6">
      <w:bookmarkStart w:id="0" w:name="_GoBack"/>
      <w:bookmarkEnd w:id="0"/>
    </w:p>
    <w:sectPr w:rsidR="00DC4217" w:rsidRPr="00132EF6" w:rsidSect="00132E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17F" w:rsidRDefault="00B9117F">
      <w:r>
        <w:separator/>
      </w:r>
    </w:p>
  </w:endnote>
  <w:endnote w:type="continuationSeparator" w:id="0">
    <w:p w:rsidR="00B9117F" w:rsidRDefault="00B9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F6" w:rsidRDefault="00132EF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F6" w:rsidRDefault="00132EF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17F" w:rsidRDefault="00B9117F">
      <w:r>
        <w:separator/>
      </w:r>
    </w:p>
  </w:footnote>
  <w:footnote w:type="continuationSeparator" w:id="0">
    <w:p w:rsidR="00B9117F" w:rsidRDefault="00B91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F6" w:rsidRDefault="0068331B" w:rsidP="00132EF6">
    <w:pPr>
      <w:pStyle w:val="a8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132EF6" w:rsidRDefault="00132EF6" w:rsidP="00132EF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F6" w:rsidRDefault="00132E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BDC1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41D05036"/>
    <w:lvl w:ilvl="0">
      <w:numFmt w:val="bullet"/>
      <w:pStyle w:val="a"/>
      <w:lvlText w:val="*"/>
      <w:lvlJc w:val="left"/>
    </w:lvl>
  </w:abstractNum>
  <w:abstractNum w:abstractNumId="2">
    <w:nsid w:val="007655A7"/>
    <w:multiLevelType w:val="singleLevel"/>
    <w:tmpl w:val="5038C9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0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A4018B"/>
    <w:multiLevelType w:val="multilevel"/>
    <w:tmpl w:val="782A567A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D63E64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0BF6C14"/>
    <w:multiLevelType w:val="hybridMultilevel"/>
    <w:tmpl w:val="A6A6DA56"/>
    <w:lvl w:ilvl="0" w:tplc="8EEA2F44">
      <w:numFmt w:val="bullet"/>
      <w:lvlText w:val="-"/>
      <w:lvlJc w:val="left"/>
      <w:pPr>
        <w:tabs>
          <w:tab w:val="num" w:pos="1425"/>
        </w:tabs>
        <w:ind w:left="1425" w:hanging="8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8">
    <w:nsid w:val="7ED20337"/>
    <w:multiLevelType w:val="singleLevel"/>
    <w:tmpl w:val="0C1E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"/>
    <w:lvlOverride w:ilvl="0">
      <w:lvl w:ilvl="0">
        <w:numFmt w:val="bullet"/>
        <w:pStyle w:val="a"/>
        <w:lvlText w:val="—"/>
        <w:legacy w:legacy="1" w:legacySpace="0" w:legacyIndent="212"/>
        <w:lvlJc w:val="left"/>
        <w:rPr>
          <w:rFonts w:ascii="Arial" w:hAnsi="Arial" w:cs="Arial" w:hint="default"/>
        </w:rPr>
      </w:lvl>
    </w:lvlOverride>
  </w:num>
  <w:num w:numId="9">
    <w:abstractNumId w:val="1"/>
    <w:lvlOverride w:ilvl="0">
      <w:lvl w:ilvl="0">
        <w:numFmt w:val="bullet"/>
        <w:pStyle w:val="a"/>
        <w:lvlText w:val="—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217"/>
    <w:rsid w:val="00132EF6"/>
    <w:rsid w:val="00204011"/>
    <w:rsid w:val="00350645"/>
    <w:rsid w:val="003F4A10"/>
    <w:rsid w:val="004967EB"/>
    <w:rsid w:val="005B4592"/>
    <w:rsid w:val="0068331B"/>
    <w:rsid w:val="006C04EA"/>
    <w:rsid w:val="00725100"/>
    <w:rsid w:val="007B7732"/>
    <w:rsid w:val="007C63A8"/>
    <w:rsid w:val="00A4079D"/>
    <w:rsid w:val="00B9117F"/>
    <w:rsid w:val="00D03670"/>
    <w:rsid w:val="00DC4217"/>
    <w:rsid w:val="00E24D4F"/>
    <w:rsid w:val="00F8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262066D-564C-4010-9E2C-6DC2C563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32EF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32EF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132EF6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0">
    <w:name w:val="heading 3"/>
    <w:basedOn w:val="a2"/>
    <w:next w:val="a2"/>
    <w:link w:val="31"/>
    <w:uiPriority w:val="99"/>
    <w:qFormat/>
    <w:rsid w:val="00132EF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32EF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32EF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32EF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32EF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32EF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132EF6"/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DC4217"/>
    <w:pPr>
      <w:spacing w:before="120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">
    <w:name w:val="List Bullet"/>
    <w:basedOn w:val="a2"/>
    <w:autoRedefine/>
    <w:uiPriority w:val="99"/>
    <w:rsid w:val="00DC4217"/>
    <w:pPr>
      <w:numPr>
        <w:numId w:val="9"/>
      </w:numPr>
      <w:tabs>
        <w:tab w:val="num" w:pos="0"/>
      </w:tabs>
      <w:ind w:left="357" w:hanging="357"/>
    </w:pPr>
  </w:style>
  <w:style w:type="paragraph" w:customStyle="1" w:styleId="3">
    <w:name w:val="Заголовок т3"/>
    <w:basedOn w:val="30"/>
    <w:uiPriority w:val="99"/>
    <w:rsid w:val="00DC4217"/>
    <w:pPr>
      <w:keepNext w:val="0"/>
      <w:widowControl w:val="0"/>
      <w:numPr>
        <w:numId w:val="3"/>
      </w:numPr>
      <w:tabs>
        <w:tab w:val="clear" w:pos="644"/>
        <w:tab w:val="num" w:pos="1440"/>
      </w:tabs>
      <w:ind w:left="1224" w:hanging="504"/>
    </w:pPr>
    <w:rPr>
      <w:b w:val="0"/>
      <w:bCs w:val="0"/>
      <w:i/>
      <w:iCs/>
    </w:rPr>
  </w:style>
  <w:style w:type="paragraph" w:styleId="32">
    <w:name w:val="Body Text 3"/>
    <w:basedOn w:val="a2"/>
    <w:link w:val="33"/>
    <w:uiPriority w:val="99"/>
    <w:rsid w:val="00DC421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paragraph" w:styleId="23">
    <w:name w:val="Body Text Indent 2"/>
    <w:basedOn w:val="a2"/>
    <w:link w:val="24"/>
    <w:uiPriority w:val="99"/>
    <w:rsid w:val="003F4A1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a8">
    <w:name w:val="header"/>
    <w:basedOn w:val="a2"/>
    <w:next w:val="a6"/>
    <w:link w:val="a9"/>
    <w:uiPriority w:val="99"/>
    <w:rsid w:val="00132EF6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a">
    <w:name w:val="footnote reference"/>
    <w:uiPriority w:val="99"/>
    <w:semiHidden/>
    <w:rsid w:val="00132EF6"/>
    <w:rPr>
      <w:sz w:val="28"/>
      <w:szCs w:val="28"/>
      <w:vertAlign w:val="superscript"/>
    </w:rPr>
  </w:style>
  <w:style w:type="paragraph" w:customStyle="1" w:styleId="ab">
    <w:name w:val="выделение"/>
    <w:uiPriority w:val="99"/>
    <w:rsid w:val="00132EF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132EF6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132EF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132EF6"/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132EF6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132EF6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132EF6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132EF6"/>
  </w:style>
  <w:style w:type="paragraph" w:styleId="af2">
    <w:name w:val="Normal (Web)"/>
    <w:basedOn w:val="a2"/>
    <w:uiPriority w:val="99"/>
    <w:rsid w:val="00132EF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132EF6"/>
    <w:pPr>
      <w:jc w:val="left"/>
    </w:pPr>
    <w:rPr>
      <w:b/>
      <w:bCs/>
      <w:caps/>
    </w:rPr>
  </w:style>
  <w:style w:type="paragraph" w:styleId="25">
    <w:name w:val="toc 2"/>
    <w:basedOn w:val="a2"/>
    <w:next w:val="a2"/>
    <w:autoRedefine/>
    <w:uiPriority w:val="99"/>
    <w:semiHidden/>
    <w:rsid w:val="00132EF6"/>
    <w:pPr>
      <w:ind w:left="998"/>
      <w:jc w:val="left"/>
    </w:pPr>
    <w:rPr>
      <w:smallCaps/>
    </w:rPr>
  </w:style>
  <w:style w:type="paragraph" w:styleId="34">
    <w:name w:val="toc 3"/>
    <w:basedOn w:val="a2"/>
    <w:next w:val="a2"/>
    <w:autoRedefine/>
    <w:uiPriority w:val="99"/>
    <w:semiHidden/>
    <w:rsid w:val="00132EF6"/>
    <w:pPr>
      <w:ind w:left="560"/>
      <w:jc w:val="left"/>
    </w:pPr>
    <w:rPr>
      <w:i/>
      <w:iCs/>
    </w:rPr>
  </w:style>
  <w:style w:type="paragraph" w:styleId="41">
    <w:name w:val="toc 4"/>
    <w:basedOn w:val="a2"/>
    <w:next w:val="a2"/>
    <w:autoRedefine/>
    <w:uiPriority w:val="99"/>
    <w:semiHidden/>
    <w:rsid w:val="00132EF6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32EF6"/>
    <w:pPr>
      <w:ind w:left="958"/>
    </w:pPr>
  </w:style>
  <w:style w:type="paragraph" w:customStyle="1" w:styleId="a0">
    <w:name w:val="список ненумерованный"/>
    <w:autoRedefine/>
    <w:uiPriority w:val="99"/>
    <w:rsid w:val="00132EF6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32EF6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uiPriority w:val="99"/>
    <w:rsid w:val="00132EF6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132EF6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4"/>
    <w:uiPriority w:val="99"/>
    <w:rsid w:val="00132EF6"/>
    <w:pPr>
      <w:ind w:left="709" w:firstLine="0"/>
    </w:pPr>
  </w:style>
  <w:style w:type="paragraph" w:customStyle="1" w:styleId="af3">
    <w:name w:val="схема"/>
    <w:uiPriority w:val="99"/>
    <w:rsid w:val="00132EF6"/>
    <w:pPr>
      <w:jc w:val="center"/>
    </w:pPr>
    <w:rPr>
      <w:noProof/>
      <w:sz w:val="24"/>
      <w:szCs w:val="24"/>
    </w:rPr>
  </w:style>
  <w:style w:type="paragraph" w:customStyle="1" w:styleId="af4">
    <w:name w:val="ТАБЛИЦА"/>
    <w:uiPriority w:val="99"/>
    <w:rsid w:val="00132EF6"/>
    <w:pPr>
      <w:jc w:val="center"/>
    </w:pPr>
  </w:style>
  <w:style w:type="paragraph" w:styleId="af5">
    <w:name w:val="footnote text"/>
    <w:basedOn w:val="a2"/>
    <w:link w:val="af6"/>
    <w:uiPriority w:val="99"/>
    <w:semiHidden/>
    <w:rsid w:val="00132EF6"/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paragraph" w:customStyle="1" w:styleId="af7">
    <w:name w:val="титут"/>
    <w:uiPriority w:val="99"/>
    <w:rsid w:val="00132EF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2014-02-22T21:29:00Z</dcterms:created>
  <dcterms:modified xsi:type="dcterms:W3CDTF">2014-02-22T21:29:00Z</dcterms:modified>
</cp:coreProperties>
</file>