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2F6" w:rsidRPr="005A0577" w:rsidRDefault="00A642F4" w:rsidP="005A0577">
      <w:pPr>
        <w:spacing w:line="360" w:lineRule="auto"/>
        <w:ind w:firstLine="709"/>
        <w:jc w:val="center"/>
        <w:rPr>
          <w:sz w:val="28"/>
          <w:szCs w:val="28"/>
        </w:rPr>
      </w:pPr>
      <w:r w:rsidRPr="005A0577">
        <w:rPr>
          <w:sz w:val="28"/>
          <w:szCs w:val="28"/>
        </w:rPr>
        <w:t>Министерство образования Российской Федерации</w:t>
      </w:r>
    </w:p>
    <w:p w:rsidR="00A642F4" w:rsidRPr="005A0577" w:rsidRDefault="00A642F4" w:rsidP="005A0577">
      <w:pPr>
        <w:spacing w:line="360" w:lineRule="auto"/>
        <w:ind w:firstLine="709"/>
        <w:jc w:val="center"/>
        <w:rPr>
          <w:sz w:val="28"/>
          <w:szCs w:val="28"/>
        </w:rPr>
      </w:pPr>
      <w:r w:rsidRPr="005A0577">
        <w:rPr>
          <w:sz w:val="28"/>
          <w:szCs w:val="28"/>
        </w:rPr>
        <w:t>Сыктывкарский государственный университет</w:t>
      </w:r>
    </w:p>
    <w:p w:rsidR="00A642F4" w:rsidRPr="005A0577" w:rsidRDefault="00A642F4" w:rsidP="005A0577">
      <w:pPr>
        <w:spacing w:line="360" w:lineRule="auto"/>
        <w:ind w:firstLine="709"/>
        <w:jc w:val="center"/>
        <w:rPr>
          <w:sz w:val="28"/>
          <w:szCs w:val="28"/>
        </w:rPr>
      </w:pPr>
      <w:r w:rsidRPr="005A0577">
        <w:rPr>
          <w:sz w:val="28"/>
          <w:szCs w:val="28"/>
        </w:rPr>
        <w:t>Кафедра финансов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</w:p>
    <w:p w:rsidR="00387DF2" w:rsidRPr="005A0577" w:rsidRDefault="00387DF2" w:rsidP="005A05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87DF2" w:rsidRPr="005A0577" w:rsidRDefault="00387DF2" w:rsidP="005A05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87DF2" w:rsidRPr="005A0577" w:rsidRDefault="00387DF2" w:rsidP="005A05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87DF2" w:rsidRPr="005A0577" w:rsidRDefault="00387DF2" w:rsidP="005A05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87DF2" w:rsidRPr="005A0577" w:rsidRDefault="00387DF2" w:rsidP="005A05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87DF2" w:rsidRPr="005A0577" w:rsidRDefault="00387DF2" w:rsidP="005A05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C3B30" w:rsidRPr="005A0577" w:rsidRDefault="00387DF2" w:rsidP="005A057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A0577">
        <w:rPr>
          <w:b/>
          <w:sz w:val="28"/>
          <w:szCs w:val="28"/>
        </w:rPr>
        <w:t>РЕФЕРАТ</w:t>
      </w:r>
    </w:p>
    <w:p w:rsidR="006C3B30" w:rsidRPr="005A0577" w:rsidRDefault="006C3B30" w:rsidP="005A0577">
      <w:pPr>
        <w:spacing w:line="360" w:lineRule="auto"/>
        <w:ind w:firstLine="709"/>
        <w:jc w:val="center"/>
        <w:rPr>
          <w:sz w:val="28"/>
          <w:szCs w:val="28"/>
        </w:rPr>
      </w:pPr>
      <w:r w:rsidRPr="005A0577">
        <w:rPr>
          <w:sz w:val="28"/>
          <w:szCs w:val="28"/>
        </w:rPr>
        <w:t>по предмету: Внебюджетные фонды</w:t>
      </w:r>
    </w:p>
    <w:p w:rsidR="006C3B30" w:rsidRPr="005A0577" w:rsidRDefault="006C3B30" w:rsidP="005A0577">
      <w:pPr>
        <w:spacing w:line="360" w:lineRule="auto"/>
        <w:ind w:firstLine="709"/>
        <w:jc w:val="center"/>
        <w:rPr>
          <w:sz w:val="28"/>
          <w:szCs w:val="28"/>
        </w:rPr>
      </w:pPr>
      <w:r w:rsidRPr="005A0577">
        <w:rPr>
          <w:sz w:val="28"/>
          <w:szCs w:val="28"/>
        </w:rPr>
        <w:t xml:space="preserve">на тему: </w:t>
      </w:r>
      <w:r w:rsidRPr="005A0577">
        <w:rPr>
          <w:b/>
          <w:sz w:val="28"/>
          <w:szCs w:val="28"/>
        </w:rPr>
        <w:t xml:space="preserve">«Негосударственные </w:t>
      </w:r>
      <w:r w:rsidR="00387DF2" w:rsidRPr="005A0577">
        <w:rPr>
          <w:b/>
          <w:sz w:val="28"/>
          <w:szCs w:val="28"/>
        </w:rPr>
        <w:t xml:space="preserve">пенсионные </w:t>
      </w:r>
      <w:r w:rsidRPr="005A0577">
        <w:rPr>
          <w:b/>
          <w:sz w:val="28"/>
          <w:szCs w:val="28"/>
        </w:rPr>
        <w:t>фонды в пенсионной системе Российской Федерации и Республик</w:t>
      </w:r>
      <w:r w:rsidR="00387DF2" w:rsidRPr="005A0577">
        <w:rPr>
          <w:b/>
          <w:sz w:val="28"/>
          <w:szCs w:val="28"/>
        </w:rPr>
        <w:t>и</w:t>
      </w:r>
      <w:r w:rsidRPr="005A0577">
        <w:rPr>
          <w:b/>
          <w:sz w:val="28"/>
          <w:szCs w:val="28"/>
        </w:rPr>
        <w:t xml:space="preserve"> Коми»</w:t>
      </w:r>
    </w:p>
    <w:p w:rsidR="006C3B30" w:rsidRPr="005A0577" w:rsidRDefault="006C3B30" w:rsidP="005A0577">
      <w:pPr>
        <w:spacing w:line="360" w:lineRule="auto"/>
        <w:ind w:firstLine="709"/>
        <w:rPr>
          <w:sz w:val="28"/>
          <w:szCs w:val="28"/>
        </w:rPr>
      </w:pPr>
    </w:p>
    <w:p w:rsidR="00387DF2" w:rsidRPr="005A0577" w:rsidRDefault="00387DF2" w:rsidP="005A0577">
      <w:pPr>
        <w:spacing w:line="360" w:lineRule="auto"/>
        <w:ind w:firstLine="709"/>
        <w:rPr>
          <w:sz w:val="28"/>
          <w:szCs w:val="28"/>
        </w:rPr>
      </w:pPr>
    </w:p>
    <w:p w:rsidR="00387DF2" w:rsidRPr="005A0577" w:rsidRDefault="00387DF2" w:rsidP="005A0577">
      <w:pPr>
        <w:spacing w:line="360" w:lineRule="auto"/>
        <w:ind w:firstLine="709"/>
        <w:rPr>
          <w:sz w:val="28"/>
          <w:szCs w:val="28"/>
        </w:rPr>
      </w:pPr>
    </w:p>
    <w:p w:rsidR="00387DF2" w:rsidRPr="005A0577" w:rsidRDefault="00387DF2" w:rsidP="005A0577">
      <w:pPr>
        <w:spacing w:line="360" w:lineRule="auto"/>
        <w:ind w:left="5940"/>
        <w:rPr>
          <w:sz w:val="28"/>
          <w:szCs w:val="28"/>
        </w:rPr>
      </w:pPr>
      <w:r w:rsidRPr="005A0577">
        <w:rPr>
          <w:sz w:val="28"/>
          <w:szCs w:val="28"/>
        </w:rPr>
        <w:t>Выполнил: Одинцов Ю.Н.</w:t>
      </w:r>
    </w:p>
    <w:p w:rsidR="00387DF2" w:rsidRPr="005A0577" w:rsidRDefault="00387DF2" w:rsidP="005A0577">
      <w:pPr>
        <w:tabs>
          <w:tab w:val="left" w:pos="2391"/>
        </w:tabs>
        <w:spacing w:line="360" w:lineRule="auto"/>
        <w:ind w:left="5940" w:firstLine="709"/>
        <w:rPr>
          <w:sz w:val="28"/>
          <w:szCs w:val="28"/>
        </w:rPr>
      </w:pPr>
      <w:r w:rsidRPr="005A0577">
        <w:rPr>
          <w:sz w:val="28"/>
          <w:szCs w:val="28"/>
          <w:lang w:val="en-US"/>
        </w:rPr>
        <w:t>III</w:t>
      </w:r>
      <w:r w:rsidRPr="005A0577">
        <w:rPr>
          <w:sz w:val="28"/>
          <w:szCs w:val="28"/>
        </w:rPr>
        <w:t xml:space="preserve"> курс, 436 группа.</w:t>
      </w:r>
    </w:p>
    <w:p w:rsidR="00E814AB" w:rsidRPr="005A0577" w:rsidRDefault="00387DF2" w:rsidP="005A0577">
      <w:pPr>
        <w:tabs>
          <w:tab w:val="left" w:pos="2391"/>
        </w:tabs>
        <w:spacing w:line="360" w:lineRule="auto"/>
        <w:ind w:left="5940"/>
        <w:rPr>
          <w:sz w:val="28"/>
          <w:szCs w:val="28"/>
        </w:rPr>
      </w:pPr>
      <w:r w:rsidRPr="005A0577">
        <w:rPr>
          <w:sz w:val="28"/>
          <w:szCs w:val="28"/>
        </w:rPr>
        <w:t xml:space="preserve">Проверила: </w:t>
      </w:r>
      <w:r w:rsidR="005467BF" w:rsidRPr="005A0577">
        <w:rPr>
          <w:sz w:val="28"/>
          <w:szCs w:val="28"/>
        </w:rPr>
        <w:t xml:space="preserve">Ладанова </w:t>
      </w:r>
      <w:r w:rsidR="0028649D" w:rsidRPr="005A0577">
        <w:rPr>
          <w:sz w:val="28"/>
          <w:szCs w:val="28"/>
        </w:rPr>
        <w:t>Л.А.</w:t>
      </w:r>
      <w:r w:rsidR="00E814AB" w:rsidRPr="005A0577">
        <w:rPr>
          <w:sz w:val="28"/>
          <w:szCs w:val="28"/>
        </w:rPr>
        <w:t>,</w:t>
      </w:r>
    </w:p>
    <w:p w:rsidR="00E814AB" w:rsidRPr="005A0577" w:rsidRDefault="00E814AB" w:rsidP="005A0577">
      <w:pPr>
        <w:tabs>
          <w:tab w:val="left" w:pos="2391"/>
        </w:tabs>
        <w:spacing w:line="360" w:lineRule="auto"/>
        <w:ind w:left="5940" w:firstLine="709"/>
        <w:rPr>
          <w:sz w:val="28"/>
          <w:szCs w:val="28"/>
        </w:rPr>
      </w:pPr>
      <w:r w:rsidRPr="005A0577">
        <w:rPr>
          <w:sz w:val="28"/>
          <w:szCs w:val="28"/>
        </w:rPr>
        <w:t>к.э.н., доцент</w:t>
      </w:r>
    </w:p>
    <w:p w:rsidR="00E814AB" w:rsidRPr="005A0577" w:rsidRDefault="00E814AB" w:rsidP="005A0577">
      <w:pPr>
        <w:tabs>
          <w:tab w:val="left" w:pos="2391"/>
        </w:tabs>
        <w:spacing w:line="360" w:lineRule="auto"/>
        <w:ind w:firstLine="709"/>
        <w:rPr>
          <w:sz w:val="28"/>
          <w:szCs w:val="28"/>
        </w:rPr>
      </w:pPr>
    </w:p>
    <w:p w:rsidR="00E814AB" w:rsidRPr="005A0577" w:rsidRDefault="00E814AB" w:rsidP="005A0577">
      <w:pPr>
        <w:tabs>
          <w:tab w:val="left" w:pos="2391"/>
        </w:tabs>
        <w:spacing w:line="360" w:lineRule="auto"/>
        <w:ind w:firstLine="709"/>
        <w:rPr>
          <w:sz w:val="28"/>
          <w:szCs w:val="28"/>
        </w:rPr>
      </w:pPr>
    </w:p>
    <w:p w:rsidR="00E814AB" w:rsidRPr="005A0577" w:rsidRDefault="00E814AB" w:rsidP="005A0577">
      <w:pPr>
        <w:tabs>
          <w:tab w:val="left" w:pos="2391"/>
        </w:tabs>
        <w:spacing w:line="360" w:lineRule="auto"/>
        <w:ind w:firstLine="709"/>
        <w:rPr>
          <w:sz w:val="28"/>
          <w:szCs w:val="28"/>
        </w:rPr>
      </w:pPr>
    </w:p>
    <w:p w:rsidR="00E814AB" w:rsidRPr="005A0577" w:rsidRDefault="00E814AB" w:rsidP="005A0577">
      <w:pPr>
        <w:tabs>
          <w:tab w:val="left" w:pos="2391"/>
        </w:tabs>
        <w:spacing w:line="360" w:lineRule="auto"/>
        <w:ind w:firstLine="709"/>
        <w:rPr>
          <w:sz w:val="28"/>
          <w:szCs w:val="28"/>
        </w:rPr>
      </w:pPr>
    </w:p>
    <w:p w:rsidR="00E814AB" w:rsidRPr="005A0577" w:rsidRDefault="00E814AB" w:rsidP="005A0577">
      <w:pPr>
        <w:tabs>
          <w:tab w:val="left" w:pos="2391"/>
        </w:tabs>
        <w:spacing w:line="360" w:lineRule="auto"/>
        <w:ind w:firstLine="709"/>
        <w:jc w:val="center"/>
        <w:rPr>
          <w:sz w:val="28"/>
          <w:szCs w:val="28"/>
        </w:rPr>
      </w:pPr>
      <w:r w:rsidRPr="005A0577">
        <w:rPr>
          <w:sz w:val="28"/>
          <w:szCs w:val="28"/>
        </w:rPr>
        <w:t>Сыктывкар</w:t>
      </w:r>
    </w:p>
    <w:p w:rsidR="00E814AB" w:rsidRPr="005A0577" w:rsidRDefault="00E814AB" w:rsidP="005A0577">
      <w:pPr>
        <w:tabs>
          <w:tab w:val="left" w:pos="2391"/>
        </w:tabs>
        <w:spacing w:line="360" w:lineRule="auto"/>
        <w:ind w:firstLine="709"/>
        <w:jc w:val="center"/>
        <w:rPr>
          <w:sz w:val="28"/>
          <w:szCs w:val="28"/>
        </w:rPr>
      </w:pPr>
      <w:r w:rsidRPr="005A0577">
        <w:rPr>
          <w:sz w:val="28"/>
          <w:szCs w:val="28"/>
        </w:rPr>
        <w:t>2003</w:t>
      </w:r>
    </w:p>
    <w:p w:rsidR="005467BF" w:rsidRDefault="005A0577" w:rsidP="005A0577">
      <w:pPr>
        <w:tabs>
          <w:tab w:val="left" w:pos="2391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D4DD4" w:rsidRPr="005A0577">
        <w:rPr>
          <w:b/>
          <w:sz w:val="28"/>
          <w:szCs w:val="28"/>
        </w:rPr>
        <w:t>Содержание</w:t>
      </w:r>
    </w:p>
    <w:p w:rsidR="005A0577" w:rsidRPr="005A0577" w:rsidRDefault="005A0577" w:rsidP="005A0577">
      <w:pPr>
        <w:tabs>
          <w:tab w:val="left" w:pos="2391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660C83" w:rsidRPr="005A0577" w:rsidRDefault="00660C83" w:rsidP="005A0577">
      <w:pPr>
        <w:pStyle w:val="12"/>
        <w:tabs>
          <w:tab w:val="right" w:leader="dot" w:pos="9356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Введение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3</w:t>
      </w:r>
    </w:p>
    <w:p w:rsidR="00660C83" w:rsidRPr="005A0577" w:rsidRDefault="00660C83" w:rsidP="005A0577">
      <w:pPr>
        <w:pStyle w:val="12"/>
        <w:tabs>
          <w:tab w:val="right" w:leader="dot" w:pos="9356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О месте негосударственных пенсионных фондов в пенсионной системе Российской Федерации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4</w:t>
      </w:r>
    </w:p>
    <w:p w:rsidR="00660C83" w:rsidRPr="005A0577" w:rsidRDefault="00660C83" w:rsidP="005A0577">
      <w:pPr>
        <w:pStyle w:val="22"/>
        <w:tabs>
          <w:tab w:val="right" w:leader="dot" w:pos="9356"/>
        </w:tabs>
        <w:spacing w:line="360" w:lineRule="auto"/>
        <w:ind w:left="0"/>
        <w:rPr>
          <w:small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1. Структура пенсионной системы Российской Федерации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4</w:t>
      </w:r>
    </w:p>
    <w:p w:rsidR="00660C83" w:rsidRPr="005A0577" w:rsidRDefault="00660C83" w:rsidP="005A0577">
      <w:pPr>
        <w:pStyle w:val="22"/>
        <w:tabs>
          <w:tab w:val="right" w:leader="dot" w:pos="9356"/>
        </w:tabs>
        <w:spacing w:line="360" w:lineRule="auto"/>
        <w:ind w:left="0"/>
        <w:rPr>
          <w:small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2. Состояние системы НПФ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4</w:t>
      </w:r>
    </w:p>
    <w:p w:rsidR="00660C83" w:rsidRPr="005A0577" w:rsidRDefault="00660C83" w:rsidP="005A0577">
      <w:pPr>
        <w:pStyle w:val="22"/>
        <w:tabs>
          <w:tab w:val="right" w:leader="dot" w:pos="9356"/>
        </w:tabs>
        <w:spacing w:line="360" w:lineRule="auto"/>
        <w:ind w:left="0"/>
        <w:rPr>
          <w:small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3. Основные проблемы развития добровольного пенсионного обеспечения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6</w:t>
      </w:r>
    </w:p>
    <w:p w:rsidR="00660C83" w:rsidRPr="005A0577" w:rsidRDefault="00660C83" w:rsidP="005A0577">
      <w:pPr>
        <w:pStyle w:val="22"/>
        <w:tabs>
          <w:tab w:val="right" w:leader="dot" w:pos="9356"/>
        </w:tabs>
        <w:spacing w:line="360" w:lineRule="auto"/>
        <w:ind w:left="0"/>
        <w:rPr>
          <w:small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4. Участие негосударственных пенсионных фондов в обязательных видах пенсионного обеспечения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7</w:t>
      </w:r>
    </w:p>
    <w:p w:rsidR="00660C83" w:rsidRPr="005A0577" w:rsidRDefault="00660C83" w:rsidP="005A0577">
      <w:pPr>
        <w:pStyle w:val="22"/>
        <w:tabs>
          <w:tab w:val="right" w:leader="dot" w:pos="9356"/>
        </w:tabs>
        <w:spacing w:line="360" w:lineRule="auto"/>
        <w:ind w:left="0"/>
        <w:rPr>
          <w:small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5. Меры по обеспечению надежности негосударственных пенсионных фондов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8</w:t>
      </w:r>
    </w:p>
    <w:p w:rsidR="00660C83" w:rsidRPr="005A0577" w:rsidRDefault="00660C83" w:rsidP="005A0577">
      <w:pPr>
        <w:pStyle w:val="12"/>
        <w:tabs>
          <w:tab w:val="right" w:leader="dot" w:pos="9356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Негосударственные пенсионные фонды в Республике Коми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8</w:t>
      </w:r>
    </w:p>
    <w:p w:rsidR="00660C83" w:rsidRPr="005A0577" w:rsidRDefault="00660C83" w:rsidP="005A0577">
      <w:pPr>
        <w:pStyle w:val="22"/>
        <w:tabs>
          <w:tab w:val="right" w:leader="dot" w:pos="9356"/>
        </w:tabs>
        <w:spacing w:line="360" w:lineRule="auto"/>
        <w:ind w:left="0"/>
        <w:rPr>
          <w:small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1. Стратегические ориентиры пенсионного обеспечения в Сыктывкаре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8</w:t>
      </w:r>
    </w:p>
    <w:p w:rsidR="00660C83" w:rsidRPr="005A0577" w:rsidRDefault="00660C83" w:rsidP="005A0577">
      <w:pPr>
        <w:pStyle w:val="22"/>
        <w:tabs>
          <w:tab w:val="right" w:leader="dot" w:pos="9356"/>
        </w:tabs>
        <w:spacing w:line="360" w:lineRule="auto"/>
        <w:ind w:left="0"/>
        <w:rPr>
          <w:small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2. Республиканские негосударственные пенсионные фонды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12</w:t>
      </w:r>
    </w:p>
    <w:p w:rsidR="00660C83" w:rsidRPr="005A0577" w:rsidRDefault="00660C83" w:rsidP="005A0577">
      <w:pPr>
        <w:pStyle w:val="22"/>
        <w:tabs>
          <w:tab w:val="right" w:leader="dot" w:pos="9356"/>
        </w:tabs>
        <w:spacing w:line="360" w:lineRule="auto"/>
        <w:ind w:left="0"/>
        <w:rPr>
          <w:small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3. Негосударственный пенсионный фонд «Мета»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13</w:t>
      </w:r>
    </w:p>
    <w:p w:rsidR="00660C83" w:rsidRPr="005A0577" w:rsidRDefault="00660C83" w:rsidP="005A0577">
      <w:pPr>
        <w:pStyle w:val="22"/>
        <w:tabs>
          <w:tab w:val="right" w:leader="dot" w:pos="9356"/>
        </w:tabs>
        <w:spacing w:line="360" w:lineRule="auto"/>
        <w:ind w:left="0"/>
        <w:rPr>
          <w:small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4. Негосударственный пенсионный фонд «Полярный»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14</w:t>
      </w:r>
    </w:p>
    <w:p w:rsidR="00660C83" w:rsidRPr="005A0577" w:rsidRDefault="00660C83" w:rsidP="005A0577">
      <w:pPr>
        <w:pStyle w:val="12"/>
        <w:tabs>
          <w:tab w:val="right" w:leader="dot" w:pos="9356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Заключение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15</w:t>
      </w:r>
    </w:p>
    <w:p w:rsidR="00660C83" w:rsidRPr="005A0577" w:rsidRDefault="00660C83" w:rsidP="005A0577">
      <w:pPr>
        <w:pStyle w:val="12"/>
        <w:tabs>
          <w:tab w:val="right" w:leader="dot" w:pos="9356"/>
        </w:tabs>
        <w:spacing w:before="0" w:after="0" w:line="360" w:lineRule="auto"/>
        <w:rPr>
          <w:b w:val="0"/>
          <w:bCs w:val="0"/>
          <w:caps w:val="0"/>
          <w:noProof/>
          <w:sz w:val="28"/>
          <w:szCs w:val="28"/>
        </w:rPr>
      </w:pPr>
      <w:r w:rsidRPr="006169A7">
        <w:rPr>
          <w:rStyle w:val="af"/>
          <w:noProof/>
          <w:sz w:val="28"/>
          <w:szCs w:val="28"/>
        </w:rPr>
        <w:t>Список литературы</w:t>
      </w:r>
      <w:r w:rsidRPr="005A0577">
        <w:rPr>
          <w:noProof/>
          <w:webHidden/>
          <w:sz w:val="28"/>
          <w:szCs w:val="28"/>
        </w:rPr>
        <w:tab/>
      </w:r>
      <w:r w:rsidR="00A3471C" w:rsidRPr="005A0577">
        <w:rPr>
          <w:noProof/>
          <w:webHidden/>
          <w:sz w:val="28"/>
          <w:szCs w:val="28"/>
        </w:rPr>
        <w:t>16</w:t>
      </w:r>
    </w:p>
    <w:p w:rsidR="007D4DD4" w:rsidRPr="005A0577" w:rsidRDefault="007D4DD4" w:rsidP="005A0577">
      <w:pPr>
        <w:tabs>
          <w:tab w:val="left" w:pos="2391"/>
        </w:tabs>
        <w:spacing w:line="360" w:lineRule="auto"/>
        <w:ind w:firstLine="709"/>
        <w:rPr>
          <w:sz w:val="28"/>
          <w:szCs w:val="28"/>
        </w:rPr>
      </w:pPr>
    </w:p>
    <w:p w:rsidR="006C3B30" w:rsidRPr="005A0577" w:rsidRDefault="006C3B30" w:rsidP="005A0577">
      <w:pPr>
        <w:spacing w:line="360" w:lineRule="auto"/>
        <w:ind w:firstLine="709"/>
        <w:rPr>
          <w:sz w:val="28"/>
          <w:szCs w:val="28"/>
        </w:rPr>
      </w:pPr>
    </w:p>
    <w:p w:rsidR="006C3B30" w:rsidRPr="005A0577" w:rsidRDefault="006C3B30" w:rsidP="005A0577">
      <w:pPr>
        <w:spacing w:line="360" w:lineRule="auto"/>
        <w:ind w:firstLine="709"/>
        <w:rPr>
          <w:sz w:val="28"/>
          <w:szCs w:val="28"/>
        </w:rPr>
        <w:sectPr w:rsidR="006C3B30" w:rsidRPr="005A0577" w:rsidSect="005A0577">
          <w:headerReference w:type="even" r:id="rId7"/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10B9D" w:rsidRPr="005A0577" w:rsidRDefault="007D4DD4" w:rsidP="005A057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54546487"/>
      <w:r w:rsidRPr="005A0577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5A0577" w:rsidRDefault="005A0577" w:rsidP="005A0577">
      <w:pPr>
        <w:spacing w:line="360" w:lineRule="auto"/>
        <w:ind w:firstLine="709"/>
        <w:jc w:val="both"/>
        <w:rPr>
          <w:sz w:val="28"/>
          <w:szCs w:val="28"/>
        </w:rPr>
      </w:pPr>
    </w:p>
    <w:p w:rsidR="00340119" w:rsidRPr="005A0577" w:rsidRDefault="00340119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 xml:space="preserve">В последнее время </w:t>
      </w:r>
      <w:r w:rsidR="00A214B3" w:rsidRPr="005A0577">
        <w:rPr>
          <w:sz w:val="28"/>
          <w:szCs w:val="28"/>
        </w:rPr>
        <w:t xml:space="preserve">в средствах массовой информации и околонаучных кругах </w:t>
      </w:r>
      <w:r w:rsidRPr="005A0577">
        <w:rPr>
          <w:sz w:val="28"/>
          <w:szCs w:val="28"/>
        </w:rPr>
        <w:t>вс</w:t>
      </w:r>
      <w:r w:rsidR="00A214B3" w:rsidRPr="005A0577">
        <w:rPr>
          <w:sz w:val="28"/>
          <w:szCs w:val="28"/>
        </w:rPr>
        <w:t xml:space="preserve">е активнее обсуждается пенсионная реформа, проводимая в нашей стране. </w:t>
      </w:r>
      <w:r w:rsidR="00763536" w:rsidRPr="005A0577">
        <w:rPr>
          <w:sz w:val="28"/>
          <w:szCs w:val="28"/>
        </w:rPr>
        <w:t>Эта тема важна для всех, поскольку затрагивает личные права каждого из нас, гарантированные Конституцией Российской Федерации.</w:t>
      </w:r>
    </w:p>
    <w:p w:rsidR="00340119" w:rsidRPr="005A0577" w:rsidRDefault="00763536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В данной работе раскрывается сущность негосударственных пенсионных фондов в общенациональном и региональном (по Республике Коми) разрезе, выявляется значение НПО в системе пенсионного обеспечения граждан, анализируются факторы, непосредственно влияющие на НПФ.</w:t>
      </w:r>
    </w:p>
    <w:p w:rsidR="00340119" w:rsidRPr="005A0577" w:rsidRDefault="00340119" w:rsidP="005A0577">
      <w:pPr>
        <w:spacing w:line="360" w:lineRule="auto"/>
        <w:ind w:firstLine="709"/>
        <w:rPr>
          <w:sz w:val="28"/>
          <w:szCs w:val="28"/>
        </w:rPr>
      </w:pPr>
    </w:p>
    <w:p w:rsidR="00340119" w:rsidRPr="005A0577" w:rsidRDefault="00340119" w:rsidP="005A0577">
      <w:pPr>
        <w:spacing w:line="360" w:lineRule="auto"/>
        <w:ind w:firstLine="709"/>
        <w:rPr>
          <w:sz w:val="28"/>
          <w:szCs w:val="28"/>
        </w:rPr>
        <w:sectPr w:rsidR="00340119" w:rsidRPr="005A0577" w:rsidSect="005A05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E10B9D" w:rsidRPr="005A0577" w:rsidRDefault="00E10B9D" w:rsidP="005A057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54546488"/>
      <w:r w:rsidRPr="005A0577">
        <w:rPr>
          <w:rFonts w:ascii="Times New Roman" w:hAnsi="Times New Roman" w:cs="Times New Roman"/>
          <w:sz w:val="28"/>
          <w:szCs w:val="28"/>
        </w:rPr>
        <w:t>О месте негосударственных пенсионных фондов</w:t>
      </w:r>
      <w:r w:rsidR="002D08B5" w:rsidRPr="005A0577">
        <w:rPr>
          <w:rFonts w:ascii="Times New Roman" w:hAnsi="Times New Roman" w:cs="Times New Roman"/>
          <w:sz w:val="28"/>
          <w:szCs w:val="28"/>
        </w:rPr>
        <w:t xml:space="preserve"> </w:t>
      </w:r>
      <w:r w:rsidRPr="005A0577">
        <w:rPr>
          <w:rFonts w:ascii="Times New Roman" w:hAnsi="Times New Roman" w:cs="Times New Roman"/>
          <w:sz w:val="28"/>
          <w:szCs w:val="28"/>
        </w:rPr>
        <w:t>в пенсионной системе Российской Федерации</w:t>
      </w:r>
      <w:bookmarkEnd w:id="1"/>
    </w:p>
    <w:p w:rsidR="005A0577" w:rsidRDefault="005A0577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2" w:name="_Toc54546489"/>
    </w:p>
    <w:p w:rsidR="00E10B9D" w:rsidRPr="005A0577" w:rsidRDefault="00E10B9D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r w:rsidRPr="005A0577">
        <w:rPr>
          <w:rFonts w:ascii="Times New Roman" w:hAnsi="Times New Roman" w:cs="Times New Roman"/>
        </w:rPr>
        <w:t>1. Структура пенсионной системы Российской Федерации</w:t>
      </w:r>
      <w:bookmarkEnd w:id="2"/>
    </w:p>
    <w:p w:rsidR="005A0577" w:rsidRDefault="005A0577" w:rsidP="005A0577">
      <w:pPr>
        <w:spacing w:line="360" w:lineRule="auto"/>
        <w:ind w:firstLine="709"/>
        <w:jc w:val="both"/>
        <w:rPr>
          <w:sz w:val="28"/>
          <w:szCs w:val="28"/>
        </w:rPr>
      </w:pP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С принятием президентского пакета пенсионных законов об обязательном пенсионном страховании и трудовых пенсиях и внесением в Государственную Думу проекта федерального закона «Об обязательных профессиональных пенсионных системах» вырисовывается следующая структура системы пенсионного обеспечения в Российской Федерации: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b/>
          <w:sz w:val="28"/>
          <w:szCs w:val="28"/>
        </w:rPr>
        <w:t>обязательное пенсионное страхование</w:t>
      </w:r>
      <w:r w:rsidRPr="005A0577">
        <w:rPr>
          <w:sz w:val="28"/>
          <w:szCs w:val="28"/>
        </w:rPr>
        <w:t>, включающее в себя трудовую пенсию по старости или инвалидности (в составе базовой, страховой и накопительной частей) и трудовую пенсию по случаю потери кормильца (в составе базовой и страховой частей)старости, страховую и накопительную части трудовой пенсии по инвалидности, а также страховую часть трудовой пенсии по случаю потери кормильца;</w:t>
      </w:r>
    </w:p>
    <w:p w:rsidR="00E10B9D" w:rsidRPr="005A0577" w:rsidRDefault="00E10B9D" w:rsidP="005A0577">
      <w:pPr>
        <w:pStyle w:val="a3"/>
        <w:spacing w:line="360" w:lineRule="auto"/>
        <w:ind w:firstLine="709"/>
        <w:rPr>
          <w:sz w:val="28"/>
          <w:szCs w:val="28"/>
        </w:rPr>
      </w:pPr>
      <w:r w:rsidRPr="005A0577">
        <w:rPr>
          <w:b/>
          <w:sz w:val="28"/>
          <w:szCs w:val="28"/>
        </w:rPr>
        <w:t>обязательные профессиональные пенсионные системы</w:t>
      </w:r>
      <w:r w:rsidRPr="005A0577">
        <w:rPr>
          <w:sz w:val="28"/>
          <w:szCs w:val="28"/>
        </w:rPr>
        <w:t>, обеспечивающие защиту работников, работающих в неблагоприятных условиях труда. Обязательные профессиональные пенсии призваны заменить действующую в настоящее время систему льготных пенсий;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b/>
          <w:sz w:val="28"/>
          <w:szCs w:val="28"/>
        </w:rPr>
        <w:t>добровольное пенсионное обеспечение</w:t>
      </w:r>
      <w:r w:rsidRPr="005A0577">
        <w:rPr>
          <w:bCs/>
          <w:sz w:val="28"/>
          <w:szCs w:val="28"/>
        </w:rPr>
        <w:t>,</w:t>
      </w:r>
      <w:r w:rsidRPr="005A0577">
        <w:rPr>
          <w:b/>
          <w:sz w:val="28"/>
          <w:szCs w:val="28"/>
        </w:rPr>
        <w:t xml:space="preserve"> </w:t>
      </w:r>
      <w:r w:rsidRPr="005A0577">
        <w:rPr>
          <w:bCs/>
          <w:sz w:val="28"/>
          <w:szCs w:val="28"/>
        </w:rPr>
        <w:t>включающее в себя пенсии, выплачиваемые за счет взносов работодателей, и  самостоятельные пенсионные накопления трудоспособного населения</w:t>
      </w:r>
      <w:r w:rsidRPr="005A0577">
        <w:rPr>
          <w:sz w:val="28"/>
          <w:szCs w:val="28"/>
        </w:rPr>
        <w:t>.</w:t>
      </w:r>
    </w:p>
    <w:p w:rsidR="00E10B9D" w:rsidRPr="005A0577" w:rsidRDefault="00E10B9D" w:rsidP="005A0577">
      <w:pPr>
        <w:pStyle w:val="2"/>
        <w:numPr>
          <w:ilvl w:val="0"/>
          <w:numId w:val="0"/>
        </w:numPr>
        <w:ind w:firstLine="709"/>
      </w:pPr>
      <w:r w:rsidRPr="005A0577">
        <w:t xml:space="preserve">Обязательные профессиональные пенсионные системы стоят в этой системе несколько особняком, поскольку призваны защитить интересы пусть и значительной (в среднем по Российской Федерации 15,2% от общего числа работающих) но обособленной части работников. 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Добровольное пенсионное обеспечение, нормы и правила которого определяются договором сторон,</w:t>
      </w:r>
      <w:r w:rsidRPr="005A0577">
        <w:rPr>
          <w:color w:val="000000"/>
          <w:sz w:val="28"/>
          <w:szCs w:val="28"/>
        </w:rPr>
        <w:t xml:space="preserve"> может осуществляться как за счет средств работодателей в рамках коллективных и индивидуальных трудовых договоров, так и за счет средств самих участников. </w:t>
      </w:r>
    </w:p>
    <w:p w:rsidR="00E10B9D" w:rsidRPr="005A0577" w:rsidRDefault="00E10B9D" w:rsidP="005A0577">
      <w:pPr>
        <w:pStyle w:val="11"/>
      </w:pPr>
      <w:r w:rsidRPr="005A0577">
        <w:t xml:space="preserve">Даже при самых благоприятных условиях преобразования системы государственного пенсионного обеспечения в полноценную систему обязательных пенсий в обозримом будущем не удастся обеспечить коэффициент замещения (отношение размера пенсии к величине последнего заработка работника) выше 20 –30 %, именно поэтому уже сегодня возможно и необходимо всемерно развивать добровольное пенсионное обеспечение как механизм привлечения работодателей и самих работников к созданию достойных условий жизни после выхода на пенсию. 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A0577">
        <w:rPr>
          <w:color w:val="000000"/>
          <w:sz w:val="28"/>
          <w:szCs w:val="28"/>
        </w:rPr>
        <w:t>Формирование системы добровольного пенсионного обеспечения должно опираться, прежде всего, на развитие и повышение финансовой надежности действующей системы негосударственных пенсионных фондов.</w:t>
      </w:r>
    </w:p>
    <w:p w:rsidR="005A0577" w:rsidRDefault="005A0577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bookmarkStart w:id="3" w:name="_Toc54546490"/>
    </w:p>
    <w:p w:rsidR="00E10B9D" w:rsidRPr="005A0577" w:rsidRDefault="00E10B9D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5A0577">
        <w:rPr>
          <w:rFonts w:ascii="Times New Roman" w:hAnsi="Times New Roman" w:cs="Times New Roman"/>
          <w:color w:val="000000"/>
        </w:rPr>
        <w:t>2. Состояние системы НПФ</w:t>
      </w:r>
      <w:bookmarkEnd w:id="3"/>
    </w:p>
    <w:p w:rsidR="005A0577" w:rsidRDefault="005A0577" w:rsidP="005A0577">
      <w:pPr>
        <w:spacing w:line="360" w:lineRule="auto"/>
        <w:ind w:firstLine="709"/>
        <w:jc w:val="both"/>
        <w:rPr>
          <w:sz w:val="28"/>
          <w:szCs w:val="28"/>
        </w:rPr>
      </w:pP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 xml:space="preserve">Система негосударственных пенсионных фондов, действующая в Российской Федерации в настоящее время, представлена 263 фондами, имеющими лицензию Инспекции негосударственных пенсионных фондов при Минтруде России. 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В значительной степени отработана, хотя и требует совершенствования, система государственного контроля за деятельностью фондов, включающая в себя их лицензирование, унифицированную систему бухгалтерского учета, обязательные ежегодные аудиторские проверки и актуарное оценивание, отчетность пенсионных фондов перед Инспекцией НПФ.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Сложилась сеть общественных объединений фондов. Сформирована инфраструктура, включающая в себя ряд организации, которые специализируются на работе с фондами, в том числе специализированные депозитарии, управляющие компании, аудиторские фирмы, консалтинговые компании, фирмы, обеспечивающие разработку программного обеспечения. В фондах на постоянной основе работает свыше трех тысяч специалистов.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 xml:space="preserve">Основные показатели деятельности фондов по итогам 2001 года представлены в таблице и на диаграммах. 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</w:p>
    <w:p w:rsidR="00DD53BA" w:rsidRPr="005A0577" w:rsidRDefault="00DD53BA" w:rsidP="005A0577">
      <w:pPr>
        <w:pStyle w:val="ae"/>
        <w:keepNext/>
        <w:spacing w:before="0" w:after="0" w:line="360" w:lineRule="auto"/>
        <w:ind w:firstLine="709"/>
        <w:jc w:val="right"/>
        <w:rPr>
          <w:sz w:val="28"/>
          <w:szCs w:val="28"/>
        </w:rPr>
      </w:pPr>
      <w:r w:rsidRPr="005A0577">
        <w:rPr>
          <w:sz w:val="28"/>
          <w:szCs w:val="28"/>
        </w:rPr>
        <w:t xml:space="preserve">Таблица </w:t>
      </w:r>
      <w:r w:rsidR="00A3471C" w:rsidRPr="005A0577">
        <w:rPr>
          <w:noProof/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3"/>
        <w:gridCol w:w="3833"/>
        <w:gridCol w:w="1256"/>
        <w:gridCol w:w="1256"/>
        <w:gridCol w:w="1256"/>
        <w:gridCol w:w="1256"/>
      </w:tblGrid>
      <w:tr w:rsidR="00E10B9D" w:rsidRPr="005A0577">
        <w:trPr>
          <w:cantSplit/>
        </w:trPr>
        <w:tc>
          <w:tcPr>
            <w:tcW w:w="713" w:type="dxa"/>
            <w:tcBorders>
              <w:bottom w:val="nil"/>
            </w:tcBorders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</w:p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№№ п/п</w:t>
            </w:r>
          </w:p>
        </w:tc>
        <w:tc>
          <w:tcPr>
            <w:tcW w:w="3833" w:type="dxa"/>
            <w:tcBorders>
              <w:bottom w:val="nil"/>
            </w:tcBorders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</w:p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512" w:type="dxa"/>
            <w:gridSpan w:val="2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</w:p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По фондам в целом</w:t>
            </w:r>
          </w:p>
        </w:tc>
        <w:tc>
          <w:tcPr>
            <w:tcW w:w="2512" w:type="dxa"/>
            <w:gridSpan w:val="2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По фондам с величиной пенсионных резервов</w:t>
            </w:r>
          </w:p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более 30 млн. руб.</w:t>
            </w:r>
          </w:p>
        </w:tc>
      </w:tr>
      <w:tr w:rsidR="00E10B9D" w:rsidRPr="005A0577">
        <w:trPr>
          <w:cantSplit/>
        </w:trPr>
        <w:tc>
          <w:tcPr>
            <w:tcW w:w="713" w:type="dxa"/>
            <w:tcBorders>
              <w:top w:val="nil"/>
            </w:tcBorders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</w:p>
        </w:tc>
        <w:tc>
          <w:tcPr>
            <w:tcW w:w="3833" w:type="dxa"/>
            <w:tcBorders>
              <w:top w:val="nil"/>
            </w:tcBorders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</w:p>
        </w:tc>
        <w:tc>
          <w:tcPr>
            <w:tcW w:w="1256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1.01.2001</w:t>
            </w:r>
          </w:p>
        </w:tc>
        <w:tc>
          <w:tcPr>
            <w:tcW w:w="1256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1.01.2002</w:t>
            </w:r>
          </w:p>
        </w:tc>
        <w:tc>
          <w:tcPr>
            <w:tcW w:w="1256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1.01.2001</w:t>
            </w:r>
          </w:p>
        </w:tc>
        <w:tc>
          <w:tcPr>
            <w:tcW w:w="1256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1.01.2002</w:t>
            </w:r>
          </w:p>
        </w:tc>
      </w:tr>
      <w:tr w:rsidR="00E10B9D" w:rsidRPr="005A0577">
        <w:trPr>
          <w:cantSplit/>
        </w:trPr>
        <w:tc>
          <w:tcPr>
            <w:tcW w:w="71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1</w:t>
            </w:r>
          </w:p>
        </w:tc>
        <w:tc>
          <w:tcPr>
            <w:tcW w:w="383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Собственное имущество фондов (млн. руб.)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23323,9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45103,0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19119,3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40700,3</w:t>
            </w:r>
          </w:p>
        </w:tc>
      </w:tr>
      <w:tr w:rsidR="00E10B9D" w:rsidRPr="005A0577">
        <w:trPr>
          <w:cantSplit/>
        </w:trPr>
        <w:tc>
          <w:tcPr>
            <w:tcW w:w="71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2</w:t>
            </w:r>
          </w:p>
        </w:tc>
        <w:tc>
          <w:tcPr>
            <w:tcW w:w="383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Имущество для обеспечения уставной деятельности (ИОУД) (млн. руб.)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5892,3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10327,2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4437,8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7283,4</w:t>
            </w:r>
          </w:p>
        </w:tc>
      </w:tr>
      <w:tr w:rsidR="00E10B9D" w:rsidRPr="005A0577">
        <w:trPr>
          <w:cantSplit/>
        </w:trPr>
        <w:tc>
          <w:tcPr>
            <w:tcW w:w="71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3</w:t>
            </w:r>
          </w:p>
        </w:tc>
        <w:tc>
          <w:tcPr>
            <w:tcW w:w="383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 xml:space="preserve">Пенсионные резервы </w:t>
            </w:r>
          </w:p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(млн. руб.)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15642,4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33639,5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14577,7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32490,7</w:t>
            </w:r>
          </w:p>
        </w:tc>
      </w:tr>
      <w:tr w:rsidR="00E10B9D" w:rsidRPr="005A0577">
        <w:trPr>
          <w:cantSplit/>
        </w:trPr>
        <w:tc>
          <w:tcPr>
            <w:tcW w:w="71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4</w:t>
            </w:r>
          </w:p>
        </w:tc>
        <w:tc>
          <w:tcPr>
            <w:tcW w:w="383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 xml:space="preserve">Количество участников фондов (тыс. чел.) 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3340300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3953103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2506978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3175575</w:t>
            </w:r>
          </w:p>
        </w:tc>
      </w:tr>
      <w:tr w:rsidR="00E10B9D" w:rsidRPr="005A0577">
        <w:trPr>
          <w:cantSplit/>
        </w:trPr>
        <w:tc>
          <w:tcPr>
            <w:tcW w:w="71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5</w:t>
            </w:r>
          </w:p>
        </w:tc>
        <w:tc>
          <w:tcPr>
            <w:tcW w:w="383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Количество участников, получающих негосударственную пенсию (тыс. чел.)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280975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330500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159890</w:t>
            </w:r>
          </w:p>
        </w:tc>
        <w:tc>
          <w:tcPr>
            <w:tcW w:w="1256" w:type="dxa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210637</w:t>
            </w:r>
          </w:p>
        </w:tc>
      </w:tr>
      <w:tr w:rsidR="00E10B9D" w:rsidRPr="005A0577">
        <w:trPr>
          <w:cantSplit/>
        </w:trPr>
        <w:tc>
          <w:tcPr>
            <w:tcW w:w="71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6</w:t>
            </w:r>
          </w:p>
        </w:tc>
        <w:tc>
          <w:tcPr>
            <w:tcW w:w="383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Сумма пенсионных взносов за 2001 год (млн. руб.)</w:t>
            </w:r>
          </w:p>
        </w:tc>
        <w:tc>
          <w:tcPr>
            <w:tcW w:w="2512" w:type="dxa"/>
            <w:gridSpan w:val="2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6693,3</w:t>
            </w:r>
          </w:p>
        </w:tc>
        <w:tc>
          <w:tcPr>
            <w:tcW w:w="2512" w:type="dxa"/>
            <w:gridSpan w:val="2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6170,7</w:t>
            </w:r>
          </w:p>
        </w:tc>
      </w:tr>
      <w:tr w:rsidR="00E10B9D" w:rsidRPr="005A0577">
        <w:trPr>
          <w:cantSplit/>
        </w:trPr>
        <w:tc>
          <w:tcPr>
            <w:tcW w:w="71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7</w:t>
            </w:r>
          </w:p>
        </w:tc>
        <w:tc>
          <w:tcPr>
            <w:tcW w:w="3833" w:type="dxa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Сумма пенсионных выплат за 2001 год (млн. руб.)</w:t>
            </w:r>
          </w:p>
        </w:tc>
        <w:tc>
          <w:tcPr>
            <w:tcW w:w="2512" w:type="dxa"/>
            <w:gridSpan w:val="2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1024,1</w:t>
            </w:r>
          </w:p>
        </w:tc>
        <w:tc>
          <w:tcPr>
            <w:tcW w:w="2512" w:type="dxa"/>
            <w:gridSpan w:val="2"/>
            <w:vAlign w:val="center"/>
          </w:tcPr>
          <w:p w:rsidR="00E10B9D" w:rsidRPr="005A0577" w:rsidRDefault="00E10B9D" w:rsidP="005A0577">
            <w:pPr>
              <w:pStyle w:val="a5"/>
              <w:spacing w:before="0" w:beforeAutospacing="0" w:after="0" w:afterAutospacing="0" w:line="360" w:lineRule="auto"/>
              <w:ind w:left="-709" w:firstLine="709"/>
              <w:rPr>
                <w:sz w:val="20"/>
                <w:szCs w:val="20"/>
              </w:rPr>
            </w:pPr>
            <w:r w:rsidRPr="005A0577">
              <w:rPr>
                <w:sz w:val="20"/>
                <w:szCs w:val="20"/>
              </w:rPr>
              <w:t>866,7</w:t>
            </w:r>
          </w:p>
        </w:tc>
      </w:tr>
    </w:tbl>
    <w:p w:rsidR="00E10B9D" w:rsidRPr="005A0577" w:rsidRDefault="00E10B9D" w:rsidP="005A057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 xml:space="preserve">Негосударственные пенсионные фонды расположены в 51 субъекте Российской Федерации, в том числе в Москве - 113 фондов, в Санкт-Петербурге - 19, Нижегородской и Самарской областях - по 9. Участники фондов проживают в 80 субъектах Российской Федерации. </w:t>
      </w:r>
    </w:p>
    <w:p w:rsidR="00E10B9D" w:rsidRPr="005A0577" w:rsidRDefault="00E10B9D" w:rsidP="005A057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Действующие пенсионные фонды организованы в наиболее успешно развивающихся секторах экономики. Из 66 фондов, имеющих размер пенсионных резервов, превышающий 30 млн. руб., 24 (36,3%) действуют на предприятиях промышленности, 13 (20%) – на предприятиях топливно-энергетического комплекса, 8 (12,1%) – на предприятиях транспорта. Распределение числа участников и размера пенсионных резервов по отраслям хозяйства приведено на диаграмме 3.</w:t>
      </w:r>
    </w:p>
    <w:p w:rsidR="00E10B9D" w:rsidRPr="005A0577" w:rsidRDefault="00E10B9D" w:rsidP="005A057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 xml:space="preserve">Общая величина собственных средств негосударственных пенсионных фондов выросла за 2001 год на </w:t>
      </w:r>
      <w:r w:rsidRPr="005A0577">
        <w:rPr>
          <w:i/>
          <w:iCs/>
          <w:sz w:val="28"/>
          <w:szCs w:val="28"/>
        </w:rPr>
        <w:t>16,4%</w:t>
      </w:r>
      <w:r w:rsidRPr="005A0577">
        <w:rPr>
          <w:sz w:val="28"/>
          <w:szCs w:val="28"/>
        </w:rPr>
        <w:t xml:space="preserve">, величина пенсионных резервов – на 19,6%. </w:t>
      </w:r>
    </w:p>
    <w:p w:rsidR="00E10B9D" w:rsidRPr="005A0577" w:rsidRDefault="00E10B9D" w:rsidP="005A057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Структура пенсионных фондов по величине пенсионных резерв</w:t>
      </w:r>
      <w:r w:rsidR="00B25367" w:rsidRPr="005A0577">
        <w:rPr>
          <w:sz w:val="28"/>
          <w:szCs w:val="28"/>
        </w:rPr>
        <w:t>ов представлена на диаграмме 2.</w:t>
      </w:r>
    </w:p>
    <w:p w:rsidR="00E10B9D" w:rsidRPr="005A0577" w:rsidRDefault="00E10B9D" w:rsidP="005A057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 xml:space="preserve">Основная доля пенсионных резервов (97%) сосредоточена в 66 (30,8% от общего числа фондов) негосударственных пенсионных фондах, сумма пенсионных резервов которых превышает 30 млн. рублей. В 16 негосударственных пенсионных фондах, пенсионные резервы которых превышают 300 млн. рублей, (7,5% общего числа фондов) сосредоточено 85% пенсионных резервов и 60% участников. Через эти фонды выплачивается 64% всех негосударственных пенсий. 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 xml:space="preserve">Сумма пенсионных взносов, поступивших в фонды за 2001 год, составила 6693,3 млн. рублей и увеличилась по сравнению с 2000 годом в 1,63 раза. Большую часть пенсионных взносов (91,3%) составили взносы от юридических лиц. Это свидетельствует о преимущественном развитии системы добровольного пенсионного обеспечения как системы корпоративных пенсий. 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 xml:space="preserve">Сумма пенсионных взносов от физических лиц выросла по сравнению с 2000 годом в 2,23 раза. 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 xml:space="preserve">Сумма пенсионных накоплений граждан в негосударственных пенсионных фондах в 11 раз превышает сумму вкладов на срок свыше 3 лет, внесенных населением в банки России. При этом доля пенсионных резервов негосударственных пенсионных фондов, сформированных за счет взносов физических лиц (около 3,4 – 3,7 млрд. руб.), приблизительно равна сумме вкладов населения в банки России на срок более 3 лет (3,2 млрд. руб.). Это свидетельствует о том, что уровень доверия населения к негосударственным пенсионным фондам соответствует доверию к банковской системе, а готовность населения размещать свои средства в долговременные вклады в те или другие социально-финансовые институты определяется уверенностью в долговременной общей стабильности. 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Пенсионные выплаты в 2001 году производили 175 негосударственных пенсионных фондов. Дополнительную пенсию в системе негосударственных пенсионных фондов получали 312 тыс. человек, выплаты за год составили около 1024,1 млн. руб.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Средний размер пенсии, полученной участниками в 2001 году, составил, в расчете на месяц, 258,5 рубля, что превышает 57% от установленного размера базовой пенсии. При этом средний размер пенсии, которую выплачивали фонды с величиной пенсионных резервов, превышающей 300 млн. рублей, составлял от 330 до 770</w:t>
      </w:r>
      <w:r w:rsidRPr="005A0577">
        <w:rPr>
          <w:i/>
          <w:iCs/>
          <w:sz w:val="28"/>
          <w:szCs w:val="28"/>
        </w:rPr>
        <w:t xml:space="preserve"> </w:t>
      </w:r>
      <w:r w:rsidRPr="005A0577">
        <w:rPr>
          <w:sz w:val="28"/>
          <w:szCs w:val="28"/>
        </w:rPr>
        <w:t xml:space="preserve">руб. (от 73 до 170% базовой пенсии). 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Отметим, что средний размер накопительной части трудовой пенсии по старости, которая будет выплачена гражданам 1952 года рождения в 2012 году, составит 52 рубля в ценах 2002 года (12% размера базовой пенсии).</w:t>
      </w:r>
    </w:p>
    <w:p w:rsidR="00E10B9D" w:rsidRPr="005A0577" w:rsidRDefault="00E10B9D" w:rsidP="005A057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Таким образом, пенсии, выплачиваемые негосударственными пенсионными фондами, уже сейчас является существенным дополнением к пенсионному обеспечению работников тех предприятий, в которых развито добровольное пенсионное обеспечение.</w:t>
      </w:r>
    </w:p>
    <w:p w:rsidR="00E10B9D" w:rsidRPr="005A0577" w:rsidRDefault="00E10B9D" w:rsidP="005A057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Дальнейшая судьба добровольного пенсионного обеспечения во многом зависит от того, насколько потенциал негосударственных пенсионных фондов будет востребован в ходе пенсионной реформы.</w:t>
      </w:r>
    </w:p>
    <w:p w:rsidR="00E10B9D" w:rsidRPr="005A0577" w:rsidRDefault="00E10B9D" w:rsidP="005A057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10B9D" w:rsidRPr="005A0577" w:rsidRDefault="00E10B9D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4" w:name="_Toc54546491"/>
      <w:r w:rsidRPr="005A0577">
        <w:rPr>
          <w:rFonts w:ascii="Times New Roman" w:hAnsi="Times New Roman" w:cs="Times New Roman"/>
        </w:rPr>
        <w:t>3. Основные проблемы развития добровольного пенсионного обеспечения</w:t>
      </w:r>
      <w:bookmarkEnd w:id="4"/>
    </w:p>
    <w:p w:rsidR="005A0577" w:rsidRDefault="005A0577" w:rsidP="005A0577">
      <w:pPr>
        <w:spacing w:line="360" w:lineRule="auto"/>
        <w:ind w:firstLine="709"/>
        <w:jc w:val="both"/>
        <w:rPr>
          <w:sz w:val="28"/>
          <w:szCs w:val="28"/>
        </w:rPr>
      </w:pP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 xml:space="preserve">Добровольное пенсионное обеспечение уже сейчас осуществляется в весьма разнообразных формах. К формам его реализации относятся как пенсионные системы отдельных организаций, отраслей экономики и территорий, созданные на базе существующих негосударственных пенсионных фондов, так и личное пенсионное обеспечение граждан, производящих в негосударственных пенсионных фондах накопление средств на свое дополнительное пенсионное обеспечение. 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В этом многообразии форм добровольного пенсионного обеспечения заключается его способность удовлетворить различные потребности в пенсиях в зависимости от уровня заработной платы, стажа и опыта работы. В результате, пенсионер получает возможность иметь совместно с обязательными видами пенсионного обеспечения ту пенсию, которую он пожелает и будет в состоянии заработать. В свете этого важно создание условий и предпосылок для развития институтов и инфраструктуры пенсионного самообеспечения граждан на основе стимулирования социального партнерства и индивидуальной инициативы.</w:t>
      </w:r>
    </w:p>
    <w:p w:rsidR="00E10B9D" w:rsidRPr="005A0577" w:rsidRDefault="00E10B9D" w:rsidP="005A0577">
      <w:pPr>
        <w:pStyle w:val="11"/>
      </w:pPr>
      <w:r w:rsidRPr="005A0577">
        <w:t xml:space="preserve">Опыт 90-х годов показывает, что даже в условиях запретительного налогообложения существовал спрос на услуги по негосударственному пенсионному обеспечению и страхованию, однако главной проблемой его дальнейшего развития добровольного пенсионного обеспечения является недостаточный охват добровольным пенсионным обеспечением. </w:t>
      </w:r>
    </w:p>
    <w:p w:rsidR="00E10B9D" w:rsidRPr="005A0577" w:rsidRDefault="00E10B9D" w:rsidP="005A0577">
      <w:pPr>
        <w:pStyle w:val="11"/>
      </w:pPr>
      <w:r w:rsidRPr="005A0577">
        <w:t xml:space="preserve">Хотя в ведущих отраслях промышленности 30 – 40% работающих являются участниками негосударственных пенсионных фондов, число участников в среднем по России в настоящее время составляет только 5,3% экономически активного населения. </w:t>
      </w:r>
    </w:p>
    <w:p w:rsidR="00E10B9D" w:rsidRPr="005A0577" w:rsidRDefault="00E10B9D" w:rsidP="005A0577">
      <w:pPr>
        <w:pStyle w:val="11"/>
      </w:pPr>
      <w:r w:rsidRPr="005A0577">
        <w:t xml:space="preserve">Для реализации потенциала общественной активности в области самообеспечения в старости необходимо проведение целого ряда организационных мероприятий и законодательных новаций по следующим направлениям: </w:t>
      </w:r>
    </w:p>
    <w:p w:rsidR="00E10B9D" w:rsidRPr="005A0577" w:rsidRDefault="00E10B9D" w:rsidP="005A0577">
      <w:pPr>
        <w:pStyle w:val="2"/>
        <w:numPr>
          <w:ilvl w:val="0"/>
          <w:numId w:val="2"/>
        </w:numPr>
        <w:ind w:firstLine="709"/>
      </w:pPr>
      <w:r w:rsidRPr="005A0577">
        <w:t xml:space="preserve">создание экономических (налоговых и иных) стимулов для работодателей и граждан к участию в добровольных пенсионных системах; </w:t>
      </w:r>
    </w:p>
    <w:p w:rsidR="00E10B9D" w:rsidRPr="005A0577" w:rsidRDefault="00E10B9D" w:rsidP="005A0577">
      <w:pPr>
        <w:pStyle w:val="2"/>
        <w:numPr>
          <w:ilvl w:val="0"/>
          <w:numId w:val="2"/>
        </w:numPr>
        <w:ind w:firstLine="709"/>
      </w:pPr>
      <w:r w:rsidRPr="005A0577">
        <w:t xml:space="preserve">развитие инфраструктуры рынков негосударственного пенсионного обеспечения и пенсионного страхования; </w:t>
      </w:r>
    </w:p>
    <w:p w:rsidR="00E10B9D" w:rsidRPr="005A0577" w:rsidRDefault="00E10B9D" w:rsidP="005A0577">
      <w:pPr>
        <w:pStyle w:val="2"/>
        <w:numPr>
          <w:ilvl w:val="0"/>
          <w:numId w:val="2"/>
        </w:numPr>
        <w:ind w:firstLine="709"/>
      </w:pPr>
      <w:r w:rsidRPr="005A0577">
        <w:t xml:space="preserve">совершенствование методов и форм государственного контроля и защиты прав участников этих рынков. </w:t>
      </w:r>
    </w:p>
    <w:p w:rsidR="00E10B9D" w:rsidRPr="005A0577" w:rsidRDefault="00E10B9D" w:rsidP="005A057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 xml:space="preserve">Очевидно, что основой экономического стимулирования развития данной сферы является установление для всех субъектов негосударственного пенсионного обеспечения и страхования налогового режима, способствующего ускоренному росту пенсионных накоплений и предполагающего налогообложение выплат из пенсионных систем при освобождении от налогов взносов и дохода от их инвестирования. </w:t>
      </w:r>
    </w:p>
    <w:p w:rsidR="00E10B9D" w:rsidRPr="005A0577" w:rsidRDefault="00E10B9D" w:rsidP="005A057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Настолько же важным является также предоставление возможности размещать пенсионные резервы негосударственных пенсионных фондов в инвестиционные проекты, обеспеченные государственными гарантиями.</w:t>
      </w:r>
    </w:p>
    <w:p w:rsidR="005A0577" w:rsidRDefault="005A0577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5" w:name="_Toc54546492"/>
    </w:p>
    <w:p w:rsidR="00E10B9D" w:rsidRPr="005A0577" w:rsidRDefault="00E10B9D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r w:rsidRPr="005A0577">
        <w:rPr>
          <w:rFonts w:ascii="Times New Roman" w:hAnsi="Times New Roman" w:cs="Times New Roman"/>
        </w:rPr>
        <w:t>4. Участие негосударственных пенсионных фондов в обязательных видах пенсионного обеспечения</w:t>
      </w:r>
      <w:bookmarkEnd w:id="5"/>
    </w:p>
    <w:p w:rsidR="005A0577" w:rsidRDefault="005A0577" w:rsidP="005A0577">
      <w:pPr>
        <w:pStyle w:val="11"/>
      </w:pPr>
    </w:p>
    <w:p w:rsidR="00E10B9D" w:rsidRPr="005A0577" w:rsidRDefault="00E10B9D" w:rsidP="005A0577">
      <w:pPr>
        <w:pStyle w:val="11"/>
      </w:pPr>
      <w:r w:rsidRPr="005A0577">
        <w:t xml:space="preserve">Основой пенсионного обеспечения должно стать обязательное пенсионное страхование. Условия данного вида страхования должны быть полностью унифицированы для всех субъектов. Обязательное страхование должно строится на принципах накопительного финансирования и предполагать свободу застрахованного в выборе института, осуществляющего страхование. </w: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  <w:r w:rsidRPr="005A0577">
        <w:rPr>
          <w:color w:val="000000"/>
          <w:sz w:val="28"/>
          <w:szCs w:val="28"/>
        </w:rPr>
        <w:t xml:space="preserve">Участие НПФ в обязательных пенсионных системах установлено </w:t>
      </w:r>
      <w:r w:rsidRPr="005A0577">
        <w:rPr>
          <w:sz w:val="28"/>
          <w:szCs w:val="28"/>
        </w:rPr>
        <w:t xml:space="preserve">Федеральным законом от 15.12.01 № 167-ФЗ «Об обязательном пенсионном страховании в Российской Федерации» («Страховщиками по </w:t>
      </w:r>
      <w:r w:rsidRPr="005A0577">
        <w:rPr>
          <w:b/>
          <w:bCs/>
          <w:sz w:val="28"/>
          <w:szCs w:val="28"/>
        </w:rPr>
        <w:t xml:space="preserve">обязательному </w:t>
      </w:r>
      <w:r w:rsidRPr="005A0577">
        <w:rPr>
          <w:sz w:val="28"/>
          <w:szCs w:val="28"/>
        </w:rPr>
        <w:t xml:space="preserve">пенсионному страхованию наряду с Пенсионным фондом Российской Федерации могут являться негосударственные пенсионные фонды в случаях и порядке, которые предусмотрены федеральным законом»), а также проектом федерального закона «Об </w:t>
      </w:r>
      <w:r w:rsidRPr="005A0577">
        <w:rPr>
          <w:b/>
          <w:bCs/>
          <w:sz w:val="28"/>
          <w:szCs w:val="28"/>
        </w:rPr>
        <w:t>обязательных</w:t>
      </w:r>
      <w:r w:rsidRPr="005A0577">
        <w:rPr>
          <w:sz w:val="28"/>
          <w:szCs w:val="28"/>
        </w:rPr>
        <w:t xml:space="preserve"> профессиональных пенсионных системах», который представлен Правительством Российской Федерации в Государственную Думу, предусмотрено создание обязательных профессиональных пенсионных систем не только на базе Пенсионного фонда Российской Федерации, но и на базе негосударственных пенсионных фондов. </w:t>
      </w:r>
    </w:p>
    <w:p w:rsidR="00E10B9D" w:rsidRPr="005A0577" w:rsidRDefault="00E10B9D" w:rsidP="005A057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0577">
        <w:rPr>
          <w:sz w:val="28"/>
          <w:szCs w:val="28"/>
        </w:rPr>
        <w:t>Исходя из имеющихся проектов документов, определяющих требования к негосударственным пенсионным фонду, осуществляющим деятельность по обязательному пенсионному страхованию, в полной мере удовлетворяют этим требованиям (сумма собственных средств фонда свыше 30 млн. руб. и ведение пенсионных счетов более 5000 чел.) 13 фондов: НПФ «Газфонд» (Москва), НПФ «Благосостояние» (Москва), НПФ электроэнергетики (Москва), Национальный НПФ (Москва), НПФ «Сургутнефтегаз», (г. Сургут Ханты-Мансийского а.о.), НПФ «Телеком-Союз» (Санкт-Петербург), НПФ «Алмазная осень» (Республика Саха (Якутия), НПФ «Уголь» (Москва), НПФ ГАЗ (Нижний Новгород), НПФ «Мосэнерго» (Москва), Первый национальный НПФ (Москва), НПФ «Железнодорожный» (Нижний Новгород) и Всерегиональный НПФ «Северный» (Ленинградская обл.).</w:t>
      </w:r>
    </w:p>
    <w:p w:rsidR="005A0577" w:rsidRDefault="005A0577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6" w:name="_Toc54546493"/>
    </w:p>
    <w:p w:rsidR="00E10B9D" w:rsidRPr="005A0577" w:rsidRDefault="00E10B9D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r w:rsidRPr="005A0577">
        <w:rPr>
          <w:rFonts w:ascii="Times New Roman" w:hAnsi="Times New Roman" w:cs="Times New Roman"/>
        </w:rPr>
        <w:t>5. Меры по обеспечению надежности негосударственных пенсионных фондов</w:t>
      </w:r>
      <w:bookmarkEnd w:id="6"/>
    </w:p>
    <w:p w:rsidR="005A0577" w:rsidRDefault="005A0577" w:rsidP="005A0577">
      <w:pPr>
        <w:pStyle w:val="11"/>
      </w:pPr>
    </w:p>
    <w:p w:rsidR="00E10B9D" w:rsidRPr="005A0577" w:rsidRDefault="00E10B9D" w:rsidP="005A0577">
      <w:pPr>
        <w:pStyle w:val="11"/>
      </w:pPr>
      <w:r w:rsidRPr="005A0577">
        <w:t xml:space="preserve">Для снижения рисков всей накопительной системы пенсионного обеспечения, в том числе и негосударственных пенсионных фондов, необходимо сформировать и законодательно закрепить систему внутренних и внешних резервов, предполагающую: </w:t>
      </w:r>
    </w:p>
    <w:p w:rsidR="00E10B9D" w:rsidRPr="005A0577" w:rsidRDefault="00E10B9D" w:rsidP="005A0577">
      <w:pPr>
        <w:pStyle w:val="11"/>
      </w:pPr>
      <w:r w:rsidRPr="005A0577">
        <w:t xml:space="preserve">- создание внутренних резервов фондов, размеры которых определяются в зависимости от рискованности портфеля; </w:t>
      </w:r>
    </w:p>
    <w:p w:rsidR="00E10B9D" w:rsidRPr="005A0577" w:rsidRDefault="00E10B9D" w:rsidP="005A0577">
      <w:pPr>
        <w:pStyle w:val="11"/>
      </w:pPr>
      <w:r w:rsidRPr="005A0577">
        <w:t xml:space="preserve">- введение требований по наличию минимального собственного имущества пенсионных фондов, управляющих компаний, депозитариев, и специализированных пенсионных страховых компаний; </w:t>
      </w:r>
    </w:p>
    <w:p w:rsidR="00E10B9D" w:rsidRPr="005A0577" w:rsidRDefault="00E10B9D" w:rsidP="005A0577">
      <w:pPr>
        <w:pStyle w:val="2"/>
        <w:numPr>
          <w:ilvl w:val="0"/>
          <w:numId w:val="0"/>
        </w:numPr>
        <w:ind w:firstLine="709"/>
      </w:pPr>
      <w:r w:rsidRPr="005A0577">
        <w:t>создание внешнего резервного фонда, участниками которого должны являться все пенсионные фонды, осуществляющие пенсионное страхование. Причем такой фонд должен управляться саморегулир</w:t>
      </w:r>
      <w:r w:rsidR="007855E5" w:rsidRPr="005A0577">
        <w:t>у</w:t>
      </w:r>
      <w:r w:rsidRPr="005A0577">
        <w:t xml:space="preserve">емой организацией участников рынка; </w:t>
      </w:r>
    </w:p>
    <w:p w:rsidR="00E10B9D" w:rsidRPr="005A0577" w:rsidRDefault="00E10B9D" w:rsidP="005A0577">
      <w:pPr>
        <w:pStyle w:val="11"/>
      </w:pPr>
      <w:r w:rsidRPr="005A0577">
        <w:t xml:space="preserve">С точки зрения управления рынком и контроля за его субъектами представляется необходимым создание саморегулируемой организации (СРО) участников рынка. СРО должна осуществлять выработку стандартов и правил деятельности участников рынка, осуществлять текущий контроль за их состоянием, а в случае возникновения финансовых затруднений </w:t>
      </w:r>
      <w:r w:rsidR="007A043A" w:rsidRPr="005A0577">
        <w:t>–</w:t>
      </w:r>
      <w:r w:rsidRPr="005A0577">
        <w:t xml:space="preserve"> антикризисное управление такими субъектами рынка от имени всего сообщества и с использованием ресурсов контролируемого ей внешнего резервного фонда. </w:t>
      </w:r>
    </w:p>
    <w:p w:rsidR="00E10B9D" w:rsidRPr="005A0577" w:rsidRDefault="005A0577" w:rsidP="005A057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54546494"/>
      <w:r>
        <w:rPr>
          <w:rFonts w:ascii="Times New Roman" w:hAnsi="Times New Roman" w:cs="Times New Roman"/>
          <w:sz w:val="28"/>
          <w:szCs w:val="28"/>
        </w:rPr>
        <w:br w:type="page"/>
      </w:r>
      <w:r w:rsidR="00712A23" w:rsidRPr="005A0577">
        <w:rPr>
          <w:rFonts w:ascii="Times New Roman" w:hAnsi="Times New Roman" w:cs="Times New Roman"/>
          <w:sz w:val="28"/>
          <w:szCs w:val="28"/>
        </w:rPr>
        <w:t>Негосударственные пенсионные фонды в Республике Коми</w:t>
      </w:r>
      <w:bookmarkEnd w:id="7"/>
    </w:p>
    <w:p w:rsidR="005A0577" w:rsidRDefault="005A0577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8" w:name="_Toc54546495"/>
    </w:p>
    <w:p w:rsidR="002208FB" w:rsidRPr="005A0577" w:rsidRDefault="002208FB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r w:rsidRPr="005A0577">
        <w:rPr>
          <w:rFonts w:ascii="Times New Roman" w:hAnsi="Times New Roman" w:cs="Times New Roman"/>
        </w:rPr>
        <w:t>1. Стратегические ориентиры пенсионного обеспечения в Сыктывкаре</w:t>
      </w:r>
      <w:bookmarkEnd w:id="8"/>
    </w:p>
    <w:p w:rsidR="005A0577" w:rsidRDefault="005A0577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2208FB" w:rsidRPr="005A0577" w:rsidRDefault="00414BD7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В свое время, а если точнее, то в 1997 г. была принята республиканская концепция НПО, в приложениях 1-2 которой подробно расписывалось, кто, когда и в какой форме принимает участие в создании системы НПО.</w:t>
      </w:r>
      <w:r w:rsidR="00AD795D" w:rsidRPr="005A0577">
        <w:rPr>
          <w:rFonts w:ascii="Times New Roman" w:hAnsi="Times New Roman"/>
        </w:rPr>
        <w:t xml:space="preserve"> Затем в начале 1998 г. был разработан проект Закона РК «О негосударственных пенсионных фондах в Республике Коми», который обещал немалые льготы юридическим и физическим лицам, рискнувшим ввязаться в авантюру с НПО. Однако дальнейшие события бурного 1998 г.</w:t>
      </w:r>
      <w:r w:rsidR="00D5075D" w:rsidRPr="005A0577">
        <w:rPr>
          <w:rFonts w:ascii="Times New Roman" w:hAnsi="Times New Roman"/>
        </w:rPr>
        <w:t xml:space="preserve"> притормозили процесс строительства НПО в республике. Наконец, свою роль сыграли и положительные тенденции, наблюдавшиеся в экономике с конца 1998 г. (как следствие девальвации национальной валюты и удвоения денежной массы), а в принципиально важных для экономики республики нефтяной и лесной отраслях – с начала лета 1999 г. (имеется ввиду</w:t>
      </w:r>
      <w:r w:rsidR="008217CA" w:rsidRPr="005A0577">
        <w:rPr>
          <w:rFonts w:ascii="Times New Roman" w:hAnsi="Times New Roman"/>
        </w:rPr>
        <w:t xml:space="preserve"> благоприятная ситуация на мировых рынках нефти и нефтепродуктов, продукции лесной, деревообрабатывающей и целлюлозно-бумажной промышленности). С одной стороны, эти благоприятные факторы открыли для республики шлюз легких экспортных денег, но, с другой, опьяняюще подействовали на законодательную и исполнительную власти республики и привели к тому, </w:t>
      </w:r>
      <w:r w:rsidR="00002B84" w:rsidRPr="005A0577">
        <w:rPr>
          <w:rFonts w:ascii="Times New Roman" w:hAnsi="Times New Roman"/>
        </w:rPr>
        <w:t>что те даже думать забыли о «длинных деньгах» НПО. В результате можно констатировать как свершившийся факт то, что республиканские власти полностью утратили интерес к негосударственному пенсионному обеспечению.</w:t>
      </w:r>
    </w:p>
    <w:p w:rsidR="00B01E95" w:rsidRPr="005A0577" w:rsidRDefault="00B01E95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Но в таком случае, может быть, создание НПО в республике действительно бесперспективное занятие, за которое не стоит даже браться?</w:t>
      </w:r>
    </w:p>
    <w:p w:rsidR="0037754D" w:rsidRPr="005A0577" w:rsidRDefault="0037754D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Мы не будем судить о всей республике, но некоторые любопытные данные по г. Сыктывкару, свидетельствующие о пользе НПО и его проблемах, приведем:</w:t>
      </w:r>
    </w:p>
    <w:p w:rsidR="003542CF" w:rsidRPr="005A0577" w:rsidRDefault="003542CF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Сначала о демографической </w:t>
      </w:r>
      <w:r w:rsidR="00CF74D4" w:rsidRPr="005A0577">
        <w:rPr>
          <w:rFonts w:ascii="Times New Roman" w:hAnsi="Times New Roman"/>
        </w:rPr>
        <w:t>ситуации в городе. Она благоприятствует развитию НПО. На рис. 1 указан интервал «активный трудовой возраст», а внутри последнего выделен интервал «резерв НПФ». Как нетрудно понять, нижняя граница «резерва»</w:t>
      </w:r>
      <w:r w:rsidR="00EA1D8F" w:rsidRPr="005A0577">
        <w:rPr>
          <w:rFonts w:ascii="Times New Roman" w:hAnsi="Times New Roman"/>
        </w:rPr>
        <w:t xml:space="preserve"> соответствует установленному Законом РФ №4520-1 пенсионному возрасту сыктывкарцев , тогда как верхняя граница отвечает приблизительно возрасту, когда работники окончательно расстаются с предприятиями в связи с выходом на заслуженный отдых (отчасти это установлено также на примере возрастной статистики участников НПФ «Мета»). Обозначенный «резерв» –</w:t>
      </w:r>
      <w:r w:rsidR="000814BA" w:rsidRPr="005A0577">
        <w:rPr>
          <w:rFonts w:ascii="Times New Roman" w:hAnsi="Times New Roman"/>
        </w:rPr>
        <w:t xml:space="preserve"> это чистый временной выигрыш накопительных пенсионных схем в НПО по сравнению с государственным пенсионным обеспечением и, как видим, он не так уж и мал – порядка 9 лет для мужчин и 12 лет для женщин. Если сравнить</w:t>
      </w:r>
      <w:r w:rsidR="009B4103" w:rsidRPr="005A0577">
        <w:rPr>
          <w:rFonts w:ascii="Times New Roman" w:hAnsi="Times New Roman"/>
        </w:rPr>
        <w:t xml:space="preserve"> возрастные распределения для 2000 г. и 2010 г., то обнаруживается, что к концу десятилетия величина «резерва» благодаря росту</w:t>
      </w:r>
      <w:r w:rsidR="00436DCC" w:rsidRPr="005A0577">
        <w:rPr>
          <w:rFonts w:ascii="Times New Roman" w:hAnsi="Times New Roman"/>
        </w:rPr>
        <w:t xml:space="preserve"> численности населения в соответствующих возрастах только увеличится. Данный временной резерв может быть весьма</w:t>
      </w:r>
      <w:r w:rsidR="00492C5C" w:rsidRPr="005A0577">
        <w:rPr>
          <w:rFonts w:ascii="Times New Roman" w:hAnsi="Times New Roman"/>
        </w:rPr>
        <w:t xml:space="preserve"> полезен для НПО.</w:t>
      </w:r>
    </w:p>
    <w:p w:rsidR="00492C5C" w:rsidRPr="005A0577" w:rsidRDefault="00492C5C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А какова возможная страховая база НПО в г. Сыктывкаре</w:t>
      </w:r>
      <w:r w:rsidR="00DE76A0" w:rsidRPr="005A0577">
        <w:rPr>
          <w:rFonts w:ascii="Times New Roman" w:hAnsi="Times New Roman"/>
        </w:rPr>
        <w:t>, или, иначе говоря, есть ли у предприятий средства, которые они могли бы без большого для себя ущерба перечислять в какой-либо региональный НПФ? Так вот, возможные суммы пенсионных взносов работодателей в пользу своих работников по договорам НПО в целом по г. Сыктывкару, которые в соответствии с пп. «р» п. 2</w:t>
      </w:r>
      <w:r w:rsidR="0011446D" w:rsidRPr="005A0577">
        <w:rPr>
          <w:rFonts w:ascii="Times New Roman" w:hAnsi="Times New Roman"/>
        </w:rPr>
        <w:t xml:space="preserve"> Положения №552 «О составе затрат…» предприятия вправе отнести на себестоимость</w:t>
      </w:r>
      <w:r w:rsidR="00656A3B" w:rsidRPr="005A0577">
        <w:rPr>
          <w:rFonts w:ascii="Times New Roman" w:hAnsi="Times New Roman"/>
        </w:rPr>
        <w:t>, могли бы составить за 9 месяцев 2000 г. 195 (!!!) млн. руб., а в пересчете на год и того больше – порядка 260 млн. руб. Впечатляет, не правда ли?</w:t>
      </w:r>
    </w:p>
    <w:p w:rsidR="00656A3B" w:rsidRPr="005A0577" w:rsidRDefault="00656A3B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Следующий </w:t>
      </w:r>
      <w:r w:rsidR="005766F7" w:rsidRPr="005A0577">
        <w:rPr>
          <w:rFonts w:ascii="Times New Roman" w:hAnsi="Times New Roman"/>
        </w:rPr>
        <w:t>аргумент также в продолжение о страховой базе НПО. Вторая часть Налогового Кодекса позволяет работодателям перечислять за год пенсионные взносы в пользу своих работников по договорам НПО без обложения этих взносов налогом на доходы физических лиц в размере 162 млн. руб., что составило бы всего 3,3% годовой чистой прибыли организаций г. Сыктывкара. Конечно, если учесть фактор наличия в городе прибыльных и убыточных предприятий, то названная сумма несколько уменьшится. Зато с другой стороны, если вспомнить о ст. 18 Закона №118-ФЗ, определившего порядок вступления в силу второй части Налогового Кодекса</w:t>
      </w:r>
      <w:r w:rsidR="009C2885" w:rsidRPr="005A0577">
        <w:rPr>
          <w:rFonts w:ascii="Times New Roman" w:hAnsi="Times New Roman"/>
        </w:rPr>
        <w:t>, то сумма необлагаемых подоходным налогом взносов работодателей по договорам НПО в 2001 г. могла бы составить астрономическую сумму в 810 млн. руб.</w:t>
      </w:r>
    </w:p>
    <w:p w:rsidR="009C2885" w:rsidRPr="005A0577" w:rsidRDefault="009C2885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Это были захватывающие возможности </w:t>
      </w:r>
      <w:r w:rsidR="00985949" w:rsidRPr="005A0577">
        <w:rPr>
          <w:rFonts w:ascii="Times New Roman" w:hAnsi="Times New Roman"/>
        </w:rPr>
        <w:t>НПО в г. Сыктывкаре. Чтобы от них раньше времени не закружилась голова, предлагаю взглянуть на те обстоятельства, которые, если их не устранить, сделают не то что невозможным – скорее бессмысленным всякие игры в НПО. Итак, несколько слов о барьерах, ограничениях и препятствиях для негосударственных пенсионных фондов в Сыктывкаре.</w:t>
      </w:r>
    </w:p>
    <w:p w:rsidR="00B1431F" w:rsidRPr="005A0577" w:rsidRDefault="009517E1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Первое из них относится к инвестиционным ограничениям. Конечно, то, что инвестиционный климат, как в экономике вообще, так и в НПО в частности, оставляют желать лучшего, не новость. Однако особенность НПО заключается в том, что неблагоприятный инвестиционный климат наблюдается не повсеместно в России, а лишь во всех регионах, за исключением только Москвы и области.</w:t>
      </w:r>
      <w:r w:rsidR="00A7167E" w:rsidRPr="005A0577">
        <w:rPr>
          <w:rFonts w:ascii="Times New Roman" w:hAnsi="Times New Roman"/>
        </w:rPr>
        <w:t xml:space="preserve"> Чем можно измерить степень благоприятности инвестиционного климата в регионах? Да очень просто:</w:t>
      </w:r>
      <w:r w:rsidR="00B1431F" w:rsidRPr="005A0577">
        <w:rPr>
          <w:rFonts w:ascii="Times New Roman" w:hAnsi="Times New Roman"/>
        </w:rPr>
        <w:t xml:space="preserve"> соотнести число участников НПФ, проживающих в регионе, и численность населения региона: так вот, если в Москве данная величина составляет около 10%, то в среднем по России… 1,6%. Вот это и будет наилучшая характеристика инвестиционного климата в регионе, которая, если ее переложить на Сыктывкар, означала бы следующее:</w:t>
      </w:r>
      <w:r w:rsidR="000716D3" w:rsidRPr="005A0577">
        <w:rPr>
          <w:rFonts w:ascii="Times New Roman" w:hAnsi="Times New Roman"/>
        </w:rPr>
        <w:t xml:space="preserve"> если в г. Сыктывкаре обеспечить для НПФ инвестиционный климат, сопоставимый с тем, что имеется в Москве, то в столице республики будут жить примерно 25 тыс. участников НПО; если же в г. Сыктывкаре будет создан среднероссийский инвестиционный климат – то менее 4 тыс. участников. Общая сумма пенсионных взносов по договорам НПО на условиях льготного налогообложения подоходным налогом для 25 тыс. участников составит 50 млн. руб., а для 4 тыс. участников соответственно 8 млн. руб.</w:t>
      </w:r>
      <w:r w:rsidR="00EA542D" w:rsidRPr="005A0577">
        <w:rPr>
          <w:rFonts w:ascii="Times New Roman" w:hAnsi="Times New Roman"/>
        </w:rPr>
        <w:t xml:space="preserve"> Но поскольку быстрое (впрочем, медленное тоже) создание в г. Сыктывкаре «московского» инвестиционного рая проблематично, то более вероятны аутсайдерские цифры – 4 тыс. участников НПО и 8 млн. руб. пенсионных взносов в их пользу за год. Сравните эту сумму с потенциально возможными цифрами поступлений в НПО, которые приводились выше: 260 млн. руб. и 162 млн. руб.</w:t>
      </w:r>
      <w:r w:rsidR="00BE283E" w:rsidRPr="005A0577">
        <w:rPr>
          <w:rFonts w:ascii="Times New Roman" w:hAnsi="Times New Roman"/>
        </w:rPr>
        <w:t xml:space="preserve"> Стоит ли в таком случае ради несчастных 8 млн. руб. заваривать кашу с негосударственным пенсионным обеспечением?</w:t>
      </w:r>
    </w:p>
    <w:p w:rsidR="00BE283E" w:rsidRPr="005A0577" w:rsidRDefault="00DB299F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Другая причина, способная охладить пыл работодателей иметь дело с НПФ, заключается в расходах на содержание фондов. Прикинем, в какие суммы может вылиться сыктывкарским работодателям посильное участие в создании жизнеспособного регионального НПФ</w:t>
      </w:r>
      <w:r w:rsidR="00167D86" w:rsidRPr="005A0577">
        <w:rPr>
          <w:rFonts w:ascii="Times New Roman" w:hAnsi="Times New Roman"/>
        </w:rPr>
        <w:t xml:space="preserve"> в городе. Допустим, что в штате фонда первые два-три года будет только три сотрудника с заработком, равным средней заработанной плате по городу (на 1 октября 2000 г.), а также примем, что прочие расходы на содержание фонда (командировки, канцелярские расходы, автотранспорт, содержание и уборка помещений) равны половине расходов по оплате труда, включая единый социальный налог.</w:t>
      </w:r>
      <w:r w:rsidR="00CC2F66" w:rsidRPr="005A0577">
        <w:rPr>
          <w:rFonts w:ascii="Times New Roman" w:hAnsi="Times New Roman"/>
        </w:rPr>
        <w:t xml:space="preserve"> Тогда годовая сумма расходов составит: 3 чел. </w:t>
      </w:r>
      <w:r w:rsidR="002003FB" w:rsidRPr="005A0577">
        <w:rPr>
          <w:rFonts w:ascii="Times New Roman" w:hAnsi="Times New Roman"/>
        </w:rPr>
        <w:t>× 3500 руб. × 12 мес. × 1,356 × 1,5 ≈ 256 тыс. руб. за год.</w:t>
      </w:r>
    </w:p>
    <w:p w:rsidR="002003FB" w:rsidRPr="005A0577" w:rsidRDefault="00F30F38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Удовольствие, как видим, не из дешевых. Но это только расходы на этапе становления фонда, в первые несколько лет, когда поток денежных средств идет в одном направлении </w:t>
      </w:r>
      <w:r w:rsidRPr="005A0577">
        <w:rPr>
          <w:rFonts w:ascii="Times New Roman" w:hAnsi="Times New Roman"/>
        </w:rPr>
        <w:softHyphen/>
      </w:r>
      <w:r w:rsidRPr="005A0577">
        <w:rPr>
          <w:rFonts w:ascii="Times New Roman" w:hAnsi="Times New Roman"/>
        </w:rPr>
        <w:softHyphen/>
        <w:t>– от вкладчиков в фонд в виде пенсионных взносов первых, – и соответственно расходы фонда минимальны. Однако рано или поздно придет время пенсионных выплат, и штат фонда, площадь его офисных помещений и потребность в автот</w:t>
      </w:r>
      <w:r w:rsidR="006250CC" w:rsidRPr="005A0577">
        <w:rPr>
          <w:rFonts w:ascii="Times New Roman" w:hAnsi="Times New Roman"/>
        </w:rPr>
        <w:t>ранспорте и командировках резко увеличатся. Вероятно, расходы могут возрасти раза в два, т.е. достичь величины 500 тыс. руб. в год.</w:t>
      </w:r>
      <w:r w:rsidR="006A1240" w:rsidRPr="005A0577">
        <w:rPr>
          <w:rFonts w:ascii="Times New Roman" w:hAnsi="Times New Roman"/>
        </w:rPr>
        <w:t xml:space="preserve"> Чтобы обеспечить такие расходы, возможны два источника – за счет инвестирования имущества для обеспечения уставной деятельности фонда и целевое финансирование вкладчиками фонда.</w:t>
      </w:r>
      <w:r w:rsidR="00D32885" w:rsidRPr="005A0577">
        <w:rPr>
          <w:rFonts w:ascii="Times New Roman" w:hAnsi="Times New Roman"/>
        </w:rPr>
        <w:t xml:space="preserve"> Пусть имущество для обеспечения уставной деятельности, инвестируемое в целях содержания фонда, составляет порядка 2,5 млн. руб. (установленный Законом №75-ФЗ минимум составляет 15000 МРОТ, или 1,25 млн. руб.) и приносит чистый доход из расчета 10%</w:t>
      </w:r>
      <w:r w:rsidR="00CB22B0" w:rsidRPr="005A0577">
        <w:rPr>
          <w:rFonts w:ascii="Times New Roman" w:hAnsi="Times New Roman"/>
        </w:rPr>
        <w:t xml:space="preserve"> (за вычетом налога на прибыль), т.е. 250 тыс. руб. в год. И тогда всю оставшуюся часть расходов придется закрывать вкладчикам через целевое финансирование, т.е. соотношение самофинансирования фонда и внешнего финансирования будет в итоге примерно1:1. Но если в год будет поступать пенсионных взносов всего на 8 млн. руб., то 250 тыс. руб. целевых взносов составят 3% от суммы взносов.</w:t>
      </w:r>
      <w:r w:rsidR="009102C6" w:rsidRPr="005A0577">
        <w:rPr>
          <w:rFonts w:ascii="Times New Roman" w:hAnsi="Times New Roman"/>
        </w:rPr>
        <w:t xml:space="preserve"> Это, вообще говоря, довольно большая величина, а потому вкладчики должны быть достаточно богаты, чтобы финансировать такую «нагрузку».</w:t>
      </w:r>
    </w:p>
    <w:p w:rsidR="006E0C82" w:rsidRPr="005A0577" w:rsidRDefault="006E0C82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Следующая причина, которая может затормозить становление регионального НПФ, связана с тем, что фонд должен работать достаточно эффективно. Это означает, что высок</w:t>
      </w:r>
      <w:r w:rsidR="0083568B" w:rsidRPr="005A0577">
        <w:rPr>
          <w:rFonts w:ascii="Times New Roman" w:hAnsi="Times New Roman"/>
        </w:rPr>
        <w:t xml:space="preserve">ие расходы на содержание фонда будут оправданы не менее высоким уровнем пенсионных резервов. Как показывает опыт западных страховых организаций и пенсионных фондов, средним для стабильно работающих кампаний является соотношение уставного капитала (имущества для обеспечения уставной деятельности по терминологии российских НПФ) и страховых (пенсионных) резервов не ниже 1:12, и для начала возьмем именно это соотношение. Кроме того, предположим, </w:t>
      </w:r>
      <w:r w:rsidR="00081FBA" w:rsidRPr="005A0577">
        <w:rPr>
          <w:rFonts w:ascii="Times New Roman" w:hAnsi="Times New Roman"/>
        </w:rPr>
        <w:t>что региональный НПФ обладает имуществом для обеспечения уставной деятельности, которое состоит из законодательно утвержденного минимума 1,25 млн. руб. (будем считать, что эта часть имущества капитализирована); 2,5 млн. руб., предназначенных для инвестирования в высоколиквидные активы с целью получения дохода и тем самым средств на содержание фонда, а также минимальной величины страхового резерва в размере 5%</w:t>
      </w:r>
      <w:r w:rsidR="00CA7E8C" w:rsidRPr="005A0577">
        <w:rPr>
          <w:rFonts w:ascii="Times New Roman" w:hAnsi="Times New Roman"/>
        </w:rPr>
        <w:t xml:space="preserve"> от суммы пенсионных резервов (данный норматив установлен Приказом Инспекции НПФ от 7 февраля 2000 г. №7). При этих условиях сумма пенсионных резервов фонда будет равна 112,5 млн. руб., а имущество для обеспечения уставной деятельности фонда составит 9,375 млн. руб., в т.ч. 1,25 млн. руб. –</w:t>
      </w:r>
      <w:r w:rsidR="004E351F" w:rsidRPr="005A0577">
        <w:rPr>
          <w:rFonts w:ascii="Times New Roman" w:hAnsi="Times New Roman"/>
        </w:rPr>
        <w:t xml:space="preserve"> вклады учредителей, представленные капитализированными активами; 5,625 млн. руб. – страховой резерв, также представленный ликвидными и надежными финансовыми или иными вложениями. Как мы видим, пенсионные резервы могут составить весьма внушительную</w:t>
      </w:r>
      <w:r w:rsidR="00457576" w:rsidRPr="005A0577">
        <w:rPr>
          <w:rFonts w:ascii="Times New Roman" w:hAnsi="Times New Roman"/>
        </w:rPr>
        <w:t xml:space="preserve"> сумму – в два раза больше, нежели в настоящее время приходится на один среднестатистический НПФ.</w:t>
      </w:r>
      <w:r w:rsidR="00110718" w:rsidRPr="005A0577">
        <w:rPr>
          <w:rFonts w:ascii="Times New Roman" w:hAnsi="Times New Roman"/>
        </w:rPr>
        <w:t xml:space="preserve"> Если исходить из того, что реальный суммарный годовой поток пенсионных взносов составит порядка 8 млн. руб., то выйти на сумму 112,5 млн. руб. возможно лет за 15. Это очень много, если учесть, что ожидаемый средний срок внесения пенсионных взносов в пользу одного участника окажется меньше и будет, скорее всего, в пределах 10-15 лет, не более того. Следовательно, для фонда окажется практически невозможным набрать даже минимум пенсионных резервов, который был оценен в 112,5 млн. руб., а это означает, что его положение долгое время</w:t>
      </w:r>
      <w:r w:rsidR="00B77396" w:rsidRPr="005A0577">
        <w:rPr>
          <w:rFonts w:ascii="Times New Roman" w:hAnsi="Times New Roman"/>
        </w:rPr>
        <w:t xml:space="preserve"> будет недостаточно стабильным. Ситуация может улучшиться лишь со временем, и то за счет демографического фактора – по мере увеличения продолжительности жизни жителей города, являющихся участниками НПФ.</w:t>
      </w:r>
    </w:p>
    <w:p w:rsidR="00B77396" w:rsidRPr="005A0577" w:rsidRDefault="00552461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Наконец, допустим, что региональный фонд все-таки встал на ноги и располагает всем, о чем говорилось выше – 4 тыс. участников, 112 млн. руб. пенсионных резервов, 9,4 млн. руб. имущества для обеспечения уставной деятельности, – или, если одним словом, фонд самодостаточен. </w:t>
      </w:r>
      <w:r w:rsidR="0061448F" w:rsidRPr="005A0577">
        <w:rPr>
          <w:rFonts w:ascii="Times New Roman" w:hAnsi="Times New Roman"/>
        </w:rPr>
        <w:t xml:space="preserve">Самодостаточность – это, конечно, замечательно, но это не цель НПФ, его цель – выплата негосударственных пенсий участникам фонда. </w:t>
      </w:r>
      <w:r w:rsidR="00DC5F32" w:rsidRPr="005A0577">
        <w:rPr>
          <w:rFonts w:ascii="Times New Roman" w:hAnsi="Times New Roman"/>
        </w:rPr>
        <w:t>А вот что будут иметь участники фонда? 112 млн. руб. пенсионных резервов в расчете на 4 тыс. участников – это в среднем 28 тыс. руб. на счету участника в момент начала получения им негосударственной пенсии (в настоящее время на счету среднестатистического участника российских НПФ всего 4,6 тыс. руб., т.е. в 6 раз меньше). Если допустить, что доходность инвестирования пенсионных резервов составляет 5% и срок пенсионных выплат участнику растянут на пять лет (единовременная выплата всей суммы категорически запрещена Правительством РФ (п.6 Постановления Правительства РФ «Об утверждении Требований к пенсионным схемам негосударственных пенсионных фондов, применяемым для негосударственного пенсионного обеспечения населения» от 13.12.99 №1385)</w:t>
      </w:r>
      <w:r w:rsidR="00A52418" w:rsidRPr="005A0577">
        <w:rPr>
          <w:rFonts w:ascii="Times New Roman" w:hAnsi="Times New Roman"/>
        </w:rPr>
        <w:t>), то сумма ежемесячной негосударственной пенсии составит 526 руб. П</w:t>
      </w:r>
      <w:r w:rsidR="00A27C99" w:rsidRPr="005A0577">
        <w:rPr>
          <w:rFonts w:ascii="Times New Roman" w:hAnsi="Times New Roman"/>
        </w:rPr>
        <w:t>ри той же доходности в 5%, но сроке выплат 10 лет ежемесячный размер пенсии из фонда будет существенно меньше, всего 295 руб. Ну, а при сроке выплат 15 лет, что, кстати, сопоставимо с ожидаемой продолжительностью для 60-летнего сыктывкарца и 65-летней сыктывкарки  – только лишь 219 руб. Как можно видеть, более или менее сносный размер пенсии возможен лишь при небольшом сроке выплат, а если же участник попытается растянуть удовольствие подольше</w:t>
      </w:r>
      <w:r w:rsidR="000967F7" w:rsidRPr="005A0577">
        <w:rPr>
          <w:rFonts w:ascii="Times New Roman" w:hAnsi="Times New Roman"/>
        </w:rPr>
        <w:t>, то размер негосударственной пенсии способен разве что вызвать раздражение, и не более того. Смею полагать, что если потенциальным участникам НПФ заранее рассказать, какие негосударственные пенсии их ожидают, то вряд ли это вызовет у них острый приступ желания стать реальными участниками НПФ.</w:t>
      </w:r>
    </w:p>
    <w:p w:rsidR="000967F7" w:rsidRPr="005A0577" w:rsidRDefault="000967F7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Однако самое большое препятствие на пути</w:t>
      </w:r>
      <w:r w:rsidR="008D71F9" w:rsidRPr="005A0577">
        <w:rPr>
          <w:rFonts w:ascii="Times New Roman" w:hAnsi="Times New Roman"/>
        </w:rPr>
        <w:t xml:space="preserve"> НПО – это вовсе не количественный фактор (пенсионные взносы, пенсионный резерв, имущество для обеспечения уставной деятельности и т.п.), а то, </w:t>
      </w:r>
      <w:r w:rsidR="00146CAF" w:rsidRPr="005A0577">
        <w:rPr>
          <w:rFonts w:ascii="Times New Roman" w:hAnsi="Times New Roman"/>
        </w:rPr>
        <w:t>что каждый третий работающий в г. Сыктывкаре есть работник</w:t>
      </w:r>
      <w:r w:rsidR="006328AD" w:rsidRPr="005A0577">
        <w:rPr>
          <w:rFonts w:ascii="Times New Roman" w:hAnsi="Times New Roman"/>
        </w:rPr>
        <w:t xml:space="preserve"> бюджетной сферы, перед которым двери НПО по определению наглухо закрыты: не может же государство быть вкладчиком негосударственного фонда. Если к этому добавить еще и полуторный перекос в размере заработной платы в бюджетной сфере и коммерческом секторе, способном впоследствии стать полуторным перекосом в размере государственной пенсии по старости, то станет понятно, что треть работающего населения города в ходе строительства НПО может оказаться здорово обижена.</w:t>
      </w:r>
      <w:r w:rsidR="005162DA" w:rsidRPr="005A0577">
        <w:rPr>
          <w:rFonts w:ascii="Times New Roman" w:hAnsi="Times New Roman"/>
        </w:rPr>
        <w:t xml:space="preserve"> Явная поддержка развития негосударственного пенсионного обеспечения со стороны республиканской власти в данной ситуации означала бы косвенную дискриминацию работников бюджетной сферы.</w:t>
      </w:r>
    </w:p>
    <w:p w:rsidR="005162DA" w:rsidRPr="005A0577" w:rsidRDefault="005162DA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Заключительный вопрос: если перспективы развития НПО в республике и ее столице так пессимистичны, то что же должны предпринимать республиканские власти, </w:t>
      </w:r>
      <w:r w:rsidR="0057303B" w:rsidRPr="005A0577">
        <w:rPr>
          <w:rFonts w:ascii="Times New Roman" w:hAnsi="Times New Roman"/>
        </w:rPr>
        <w:t>чтобы НПО из пустой трехбуквенной аббревиатуры превратилось в социальный институт, с которым могли бы связать свои надежды жители республики?</w:t>
      </w:r>
    </w:p>
    <w:p w:rsidR="00CC2F66" w:rsidRPr="005A0577" w:rsidRDefault="007C391B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В принципе, они ничего не должны предпринимать, что, собственно говоря, и делают. Причин две. Первая – макроэкономическая нестабильность российской экономики, которая приводит к реальному «проеданию» долгосрочных инвестиций, </w:t>
      </w:r>
      <w:r w:rsidR="00F32CBD" w:rsidRPr="005A0577">
        <w:rPr>
          <w:rFonts w:ascii="Times New Roman" w:hAnsi="Times New Roman"/>
        </w:rPr>
        <w:t>являющихся предметом специализации негосударственных пенсионных фондов.</w:t>
      </w:r>
      <w:r w:rsidR="00A13278" w:rsidRPr="005A0577">
        <w:rPr>
          <w:rFonts w:ascii="Times New Roman" w:hAnsi="Times New Roman"/>
        </w:rPr>
        <w:t xml:space="preserve"> Вторая – известная социальная дискриминация работников </w:t>
      </w:r>
      <w:r w:rsidR="00B30F1D" w:rsidRPr="005A0577">
        <w:rPr>
          <w:rFonts w:ascii="Times New Roman" w:hAnsi="Times New Roman"/>
        </w:rPr>
        <w:t>бюджетной</w:t>
      </w:r>
      <w:r w:rsidR="00A13278" w:rsidRPr="005A0577">
        <w:rPr>
          <w:rFonts w:ascii="Times New Roman" w:hAnsi="Times New Roman"/>
        </w:rPr>
        <w:t xml:space="preserve"> сферы</w:t>
      </w:r>
      <w:r w:rsidR="00B30F1D" w:rsidRPr="005A0577">
        <w:rPr>
          <w:rFonts w:ascii="Times New Roman" w:hAnsi="Times New Roman"/>
        </w:rPr>
        <w:t>, которые имеют существенно более низкую заработную плату в сравнении с коммерческим сектором, и к тому же по понятным причинам не могут стать участниками НПФ. Названные барьеры теоретически, конечно, преодолимы, но – только лишь усилиями федеральных властей. Это их прерогатива и обязанность. А до тех пор, пока обе причины не будут устранены, т.е.</w:t>
      </w:r>
      <w:r w:rsidR="000E0AF3" w:rsidRPr="005A0577">
        <w:rPr>
          <w:rFonts w:ascii="Times New Roman" w:hAnsi="Times New Roman"/>
        </w:rPr>
        <w:t xml:space="preserve"> не будет кардинальных перемен в экономике и бюджетной сфере, власть республики поступает очень взвешенно и мудро, не пытаясь форсировать</w:t>
      </w:r>
      <w:r w:rsidR="004D6C7B" w:rsidRPr="005A0577">
        <w:rPr>
          <w:rFonts w:ascii="Times New Roman" w:hAnsi="Times New Roman"/>
        </w:rPr>
        <w:t xml:space="preserve"> события в сфере негосударственного пенсионного обеспечения.</w:t>
      </w:r>
      <w:r w:rsidR="00074223" w:rsidRPr="005A0577">
        <w:rPr>
          <w:rFonts w:ascii="Times New Roman" w:hAnsi="Times New Roman"/>
        </w:rPr>
        <w:t xml:space="preserve"> Как говорится, всему свое время.</w:t>
      </w:r>
    </w:p>
    <w:p w:rsidR="00A90206" w:rsidRPr="005A0577" w:rsidRDefault="00A90206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9" w:name="_Toc54546496"/>
      <w:r w:rsidRPr="005A0577">
        <w:rPr>
          <w:rFonts w:ascii="Times New Roman" w:hAnsi="Times New Roman" w:cs="Times New Roman"/>
        </w:rPr>
        <w:t>2. Республиканские негосударственные пенсионные фонды</w:t>
      </w:r>
      <w:bookmarkEnd w:id="9"/>
    </w:p>
    <w:p w:rsidR="00712A23" w:rsidRPr="005A0577" w:rsidRDefault="006A2345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В настоящий момент в республике насчитывается 4212 участников НПО, из них треть (1407 чел.) являются участниками республиканских НПФ, а две трети (2805 чел.) – участниками НПФ, зарегистрированных в других регионах</w:t>
      </w:r>
      <w:r w:rsidR="00657355" w:rsidRPr="005A0577">
        <w:rPr>
          <w:rFonts w:ascii="Times New Roman" w:hAnsi="Times New Roman"/>
        </w:rPr>
        <w:t>.</w:t>
      </w:r>
    </w:p>
    <w:p w:rsidR="004B6D98" w:rsidRPr="005A0577" w:rsidRDefault="004B6D98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Что представляют из себя республиканские, они же столичные, негосударственные пенсионные фонды, показано ниже:</w:t>
      </w:r>
    </w:p>
    <w:p w:rsidR="0080288F" w:rsidRPr="005A0577" w:rsidRDefault="005A0577" w:rsidP="005A0577">
      <w:pPr>
        <w:pStyle w:val="ae"/>
        <w:spacing w:before="0" w:after="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0288F" w:rsidRPr="005A0577">
        <w:rPr>
          <w:sz w:val="28"/>
          <w:szCs w:val="28"/>
        </w:rPr>
        <w:t xml:space="preserve">Таблица </w:t>
      </w:r>
      <w:r w:rsidR="00A3471C" w:rsidRPr="005A0577">
        <w:rPr>
          <w:noProof/>
          <w:sz w:val="28"/>
          <w:szCs w:val="28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3"/>
        <w:gridCol w:w="2117"/>
        <w:gridCol w:w="1679"/>
        <w:gridCol w:w="2331"/>
      </w:tblGrid>
      <w:tr w:rsidR="008E07FF" w:rsidRPr="00406A5D" w:rsidTr="00406A5D">
        <w:trPr>
          <w:cantSplit/>
          <w:tblHeader/>
        </w:trPr>
        <w:tc>
          <w:tcPr>
            <w:tcW w:w="5328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8E07FF" w:rsidRPr="00406A5D" w:rsidRDefault="008E07FF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Наименование показателей</w:t>
            </w:r>
          </w:p>
        </w:tc>
        <w:tc>
          <w:tcPr>
            <w:tcW w:w="180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E07FF" w:rsidRPr="00406A5D" w:rsidRDefault="008E07FF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НПФ «Мета»</w:t>
            </w:r>
          </w:p>
        </w:tc>
        <w:tc>
          <w:tcPr>
            <w:tcW w:w="2442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E07FF" w:rsidRPr="00406A5D" w:rsidRDefault="008E07FF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НПФ «Полярный»</w:t>
            </w:r>
          </w:p>
        </w:tc>
      </w:tr>
      <w:tr w:rsidR="008E07FF" w:rsidRPr="00406A5D" w:rsidTr="00406A5D">
        <w:trPr>
          <w:cantSplit/>
          <w:tblHeader/>
        </w:trPr>
        <w:tc>
          <w:tcPr>
            <w:tcW w:w="5328" w:type="dxa"/>
            <w:gridSpan w:val="2"/>
            <w:tcBorders>
              <w:top w:val="dotted" w:sz="4" w:space="0" w:color="auto"/>
              <w:left w:val="nil"/>
              <w:bottom w:val="nil"/>
            </w:tcBorders>
            <w:shd w:val="clear" w:color="auto" w:fill="auto"/>
          </w:tcPr>
          <w:p w:rsidR="008E07FF" w:rsidRPr="00406A5D" w:rsidRDefault="00CE02B2" w:rsidP="00406A5D">
            <w:pPr>
              <w:pStyle w:val="a7"/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Собственное имущество фондов (тыс. руб.)</w:t>
            </w:r>
          </w:p>
        </w:tc>
        <w:tc>
          <w:tcPr>
            <w:tcW w:w="1800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8E07FF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3906</w:t>
            </w:r>
          </w:p>
        </w:tc>
        <w:tc>
          <w:tcPr>
            <w:tcW w:w="2442" w:type="dxa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07FF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276</w:t>
            </w:r>
          </w:p>
        </w:tc>
      </w:tr>
      <w:tr w:rsidR="007F42B5" w:rsidRPr="00406A5D" w:rsidTr="00406A5D">
        <w:trPr>
          <w:cantSplit/>
          <w:tblHeader/>
        </w:trPr>
        <w:tc>
          <w:tcPr>
            <w:tcW w:w="532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7F42B5" w:rsidRPr="00406A5D" w:rsidRDefault="00CE02B2" w:rsidP="00406A5D">
            <w:pPr>
              <w:pStyle w:val="a7"/>
              <w:numPr>
                <w:ilvl w:val="0"/>
                <w:numId w:val="5"/>
              </w:num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имущество для обеспечения уставной деятельности (ИОУД)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349</w:t>
            </w:r>
          </w:p>
        </w:tc>
        <w:tc>
          <w:tcPr>
            <w:tcW w:w="24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276</w:t>
            </w:r>
          </w:p>
        </w:tc>
      </w:tr>
      <w:tr w:rsidR="007F42B5" w:rsidRPr="00406A5D" w:rsidTr="00406A5D">
        <w:trPr>
          <w:cantSplit/>
          <w:tblHeader/>
        </w:trPr>
        <w:tc>
          <w:tcPr>
            <w:tcW w:w="5328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:rsidR="001163C5" w:rsidRPr="00406A5D" w:rsidRDefault="001163C5" w:rsidP="00406A5D">
            <w:pPr>
              <w:pStyle w:val="a7"/>
              <w:numPr>
                <w:ilvl w:val="0"/>
                <w:numId w:val="3"/>
              </w:num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пенсионные резервы</w:t>
            </w:r>
          </w:p>
        </w:tc>
        <w:tc>
          <w:tcPr>
            <w:tcW w:w="180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3557</w:t>
            </w:r>
          </w:p>
        </w:tc>
        <w:tc>
          <w:tcPr>
            <w:tcW w:w="2442" w:type="dxa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7F42B5" w:rsidRPr="00406A5D" w:rsidTr="00406A5D">
        <w:trPr>
          <w:cantSplit/>
          <w:tblHeader/>
        </w:trPr>
        <w:tc>
          <w:tcPr>
            <w:tcW w:w="5328" w:type="dxa"/>
            <w:gridSpan w:val="2"/>
            <w:tcBorders>
              <w:top w:val="dotted" w:sz="4" w:space="0" w:color="auto"/>
              <w:left w:val="nil"/>
            </w:tcBorders>
            <w:shd w:val="clear" w:color="auto" w:fill="auto"/>
          </w:tcPr>
          <w:p w:rsidR="007F42B5" w:rsidRPr="00406A5D" w:rsidRDefault="00BB05AF" w:rsidP="00406A5D">
            <w:pPr>
              <w:pStyle w:val="a7"/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Инвестированное собственное имущество (тыс. руб.)</w:t>
            </w:r>
          </w:p>
        </w:tc>
        <w:tc>
          <w:tcPr>
            <w:tcW w:w="18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3583</w:t>
            </w:r>
          </w:p>
        </w:tc>
        <w:tc>
          <w:tcPr>
            <w:tcW w:w="2442" w:type="dxa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7F42B5" w:rsidRPr="00406A5D" w:rsidTr="00406A5D">
        <w:trPr>
          <w:cantSplit/>
          <w:tblHeader/>
        </w:trPr>
        <w:tc>
          <w:tcPr>
            <w:tcW w:w="5328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</w:tcPr>
          <w:p w:rsidR="007F42B5" w:rsidRPr="00406A5D" w:rsidRDefault="00BB05AF" w:rsidP="00406A5D">
            <w:pPr>
              <w:pStyle w:val="a7"/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Пенсионные взносы за январь-сентябрь 2000 г. (тыс. руб.)</w:t>
            </w:r>
          </w:p>
        </w:tc>
        <w:tc>
          <w:tcPr>
            <w:tcW w:w="180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  <w:tc>
          <w:tcPr>
            <w:tcW w:w="2442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7F42B5" w:rsidRPr="00406A5D" w:rsidTr="00406A5D">
        <w:trPr>
          <w:cantSplit/>
          <w:tblHeader/>
        </w:trPr>
        <w:tc>
          <w:tcPr>
            <w:tcW w:w="5328" w:type="dxa"/>
            <w:gridSpan w:val="2"/>
            <w:tcBorders>
              <w:top w:val="dotted" w:sz="4" w:space="0" w:color="auto"/>
              <w:left w:val="nil"/>
            </w:tcBorders>
            <w:shd w:val="clear" w:color="auto" w:fill="auto"/>
          </w:tcPr>
          <w:p w:rsidR="007F42B5" w:rsidRPr="00406A5D" w:rsidRDefault="00BB05AF" w:rsidP="00406A5D">
            <w:pPr>
              <w:pStyle w:val="a7"/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Пенсионные выплаты за январь-сентябрь 2000 г. (тыс. руб.)</w:t>
            </w:r>
          </w:p>
        </w:tc>
        <w:tc>
          <w:tcPr>
            <w:tcW w:w="18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  <w:tc>
          <w:tcPr>
            <w:tcW w:w="2442" w:type="dxa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CE02B2" w:rsidRPr="00406A5D" w:rsidTr="00406A5D">
        <w:trPr>
          <w:cantSplit/>
          <w:tblHeader/>
        </w:trPr>
        <w:tc>
          <w:tcPr>
            <w:tcW w:w="532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CE02B2" w:rsidRPr="00406A5D" w:rsidRDefault="00CE02B2" w:rsidP="00406A5D">
            <w:pPr>
              <w:pStyle w:val="a7"/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Количество участников фондов (чел.)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vAlign w:val="center"/>
          </w:tcPr>
          <w:p w:rsidR="00CE02B2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1407</w:t>
            </w:r>
          </w:p>
        </w:tc>
        <w:tc>
          <w:tcPr>
            <w:tcW w:w="244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E02B2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7F42B5" w:rsidRPr="00406A5D" w:rsidTr="00406A5D">
        <w:trPr>
          <w:cantSplit/>
          <w:tblHeader/>
        </w:trPr>
        <w:tc>
          <w:tcPr>
            <w:tcW w:w="5328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:rsidR="003962EB" w:rsidRPr="00406A5D" w:rsidRDefault="003962EB" w:rsidP="00406A5D">
            <w:pPr>
              <w:pStyle w:val="a7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получающих негосударственную пенсию</w:t>
            </w:r>
          </w:p>
        </w:tc>
        <w:tc>
          <w:tcPr>
            <w:tcW w:w="180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  <w:tc>
          <w:tcPr>
            <w:tcW w:w="2442" w:type="dxa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7F42B5" w:rsidRPr="00406A5D" w:rsidTr="00406A5D">
        <w:trPr>
          <w:cantSplit/>
          <w:tblHeader/>
        </w:trPr>
        <w:tc>
          <w:tcPr>
            <w:tcW w:w="5328" w:type="dxa"/>
            <w:gridSpan w:val="2"/>
            <w:tcBorders>
              <w:top w:val="dotted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:rsidR="007F42B5" w:rsidRPr="00406A5D" w:rsidRDefault="003962EB" w:rsidP="00406A5D">
            <w:pPr>
              <w:pStyle w:val="a7"/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Пенсионные резервы в расчете на одного участника (руб.)</w:t>
            </w:r>
          </w:p>
        </w:tc>
        <w:tc>
          <w:tcPr>
            <w:tcW w:w="1800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2528</w:t>
            </w:r>
          </w:p>
        </w:tc>
        <w:tc>
          <w:tcPr>
            <w:tcW w:w="2442" w:type="dxa"/>
            <w:tcBorders>
              <w:top w:val="dotted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7F42B5" w:rsidRPr="00406A5D" w:rsidRDefault="00C8142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6D4E9D" w:rsidRPr="00406A5D" w:rsidTr="00406A5D">
        <w:tc>
          <w:tcPr>
            <w:tcW w:w="3168" w:type="dxa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6D4E9D" w:rsidRPr="00406A5D" w:rsidRDefault="006D4E9D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Размещение пенсионных резервов</w:t>
            </w:r>
          </w:p>
        </w:tc>
        <w:tc>
          <w:tcPr>
            <w:tcW w:w="21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D4E9D" w:rsidRPr="00406A5D" w:rsidRDefault="006D4E9D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Ограничения Инспекции НПФ</w:t>
            </w:r>
          </w:p>
        </w:tc>
        <w:tc>
          <w:tcPr>
            <w:tcW w:w="180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D4E9D" w:rsidRPr="00406A5D" w:rsidRDefault="006D4E9D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НПФ «Мета»</w:t>
            </w:r>
          </w:p>
        </w:tc>
        <w:tc>
          <w:tcPr>
            <w:tcW w:w="2442" w:type="dxa"/>
            <w:tcBorders>
              <w:top w:val="doub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D4E9D" w:rsidRPr="00406A5D" w:rsidRDefault="006D4E9D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НПФ «Полярный»</w:t>
            </w:r>
          </w:p>
        </w:tc>
      </w:tr>
      <w:tr w:rsidR="006D4E9D" w:rsidRPr="00406A5D" w:rsidTr="00406A5D">
        <w:tc>
          <w:tcPr>
            <w:tcW w:w="3168" w:type="dxa"/>
            <w:tcBorders>
              <w:top w:val="double" w:sz="4" w:space="0" w:color="auto"/>
              <w:left w:val="nil"/>
              <w:bottom w:val="nil"/>
            </w:tcBorders>
            <w:shd w:val="clear" w:color="auto" w:fill="auto"/>
          </w:tcPr>
          <w:p w:rsidR="006D4E9D" w:rsidRPr="00406A5D" w:rsidRDefault="0001768E" w:rsidP="00406A5D">
            <w:pPr>
              <w:pStyle w:val="a7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Федеральные ценные бумаги</w:t>
            </w:r>
          </w:p>
        </w:tc>
        <w:tc>
          <w:tcPr>
            <w:tcW w:w="2160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6D4E9D" w:rsidRPr="00406A5D" w:rsidRDefault="007F09C4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Не менее 30%</w:t>
            </w:r>
          </w:p>
        </w:tc>
        <w:tc>
          <w:tcPr>
            <w:tcW w:w="1800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6D4E9D" w:rsidRPr="00406A5D" w:rsidRDefault="00E27FC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29,8</w:t>
            </w:r>
          </w:p>
        </w:tc>
        <w:tc>
          <w:tcPr>
            <w:tcW w:w="2442" w:type="dxa"/>
            <w:tcBorders>
              <w:top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D4E9D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1968EB" w:rsidRPr="00406A5D" w:rsidTr="00406A5D">
        <w:tc>
          <w:tcPr>
            <w:tcW w:w="316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968EB" w:rsidRPr="00406A5D" w:rsidRDefault="001968EB" w:rsidP="00406A5D">
            <w:pPr>
              <w:pStyle w:val="a7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Ценные бумаги субъектов РФ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  <w:tc>
          <w:tcPr>
            <w:tcW w:w="24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1968EB" w:rsidRPr="00406A5D" w:rsidTr="00406A5D">
        <w:tc>
          <w:tcPr>
            <w:tcW w:w="316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968EB" w:rsidRPr="00406A5D" w:rsidRDefault="001968EB" w:rsidP="00406A5D">
            <w:pPr>
              <w:pStyle w:val="a7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Банковские вклады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  <w:tc>
          <w:tcPr>
            <w:tcW w:w="24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1968EB" w:rsidRPr="00406A5D" w:rsidTr="00406A5D">
        <w:tc>
          <w:tcPr>
            <w:tcW w:w="316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968EB" w:rsidRPr="00406A5D" w:rsidRDefault="001968EB" w:rsidP="00406A5D">
            <w:pPr>
              <w:pStyle w:val="a7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Акции и облигации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  <w:tc>
          <w:tcPr>
            <w:tcW w:w="24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1968EB" w:rsidRPr="00406A5D" w:rsidTr="00406A5D">
        <w:tc>
          <w:tcPr>
            <w:tcW w:w="316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968EB" w:rsidRPr="00406A5D" w:rsidRDefault="001968EB" w:rsidP="00406A5D">
            <w:pPr>
              <w:pStyle w:val="a7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Векселя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Не более 10%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9,8</w:t>
            </w:r>
          </w:p>
        </w:tc>
        <w:tc>
          <w:tcPr>
            <w:tcW w:w="24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1968EB" w:rsidRPr="00406A5D" w:rsidTr="00406A5D">
        <w:tc>
          <w:tcPr>
            <w:tcW w:w="316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968EB" w:rsidRPr="00406A5D" w:rsidRDefault="001968EB" w:rsidP="00406A5D">
            <w:pPr>
              <w:pStyle w:val="a7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Недвижимость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Не более 10%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52,3</w:t>
            </w:r>
          </w:p>
        </w:tc>
        <w:tc>
          <w:tcPr>
            <w:tcW w:w="24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1968EB" w:rsidRPr="00406A5D" w:rsidTr="00406A5D">
        <w:tc>
          <w:tcPr>
            <w:tcW w:w="316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968EB" w:rsidRPr="00406A5D" w:rsidRDefault="001968EB" w:rsidP="00406A5D">
            <w:pPr>
              <w:pStyle w:val="a7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Валюта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  <w:tc>
          <w:tcPr>
            <w:tcW w:w="24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1968EB" w:rsidRPr="00406A5D" w:rsidTr="00406A5D">
        <w:tc>
          <w:tcPr>
            <w:tcW w:w="3168" w:type="dxa"/>
            <w:tcBorders>
              <w:top w:val="nil"/>
              <w:left w:val="nil"/>
            </w:tcBorders>
            <w:shd w:val="clear" w:color="auto" w:fill="auto"/>
          </w:tcPr>
          <w:p w:rsidR="001968EB" w:rsidRPr="00406A5D" w:rsidRDefault="001968EB" w:rsidP="00406A5D">
            <w:pPr>
              <w:pStyle w:val="a7"/>
              <w:numPr>
                <w:ilvl w:val="0"/>
                <w:numId w:val="4"/>
              </w:numPr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Прочие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9,1</w:t>
            </w:r>
          </w:p>
        </w:tc>
        <w:tc>
          <w:tcPr>
            <w:tcW w:w="2442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  <w:tr w:rsidR="001968EB" w:rsidRPr="00406A5D" w:rsidTr="00406A5D">
        <w:tc>
          <w:tcPr>
            <w:tcW w:w="3168" w:type="dxa"/>
            <w:tcBorders>
              <w:left w:val="nil"/>
            </w:tcBorders>
            <w:shd w:val="clear" w:color="auto" w:fill="auto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Итого: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100,0</w:t>
            </w:r>
          </w:p>
        </w:tc>
        <w:tc>
          <w:tcPr>
            <w:tcW w:w="2442" w:type="dxa"/>
            <w:tcBorders>
              <w:right w:val="nil"/>
            </w:tcBorders>
            <w:shd w:val="clear" w:color="auto" w:fill="auto"/>
            <w:vAlign w:val="center"/>
          </w:tcPr>
          <w:p w:rsidR="001968EB" w:rsidRPr="00406A5D" w:rsidRDefault="001968EB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–</w:t>
            </w:r>
          </w:p>
        </w:tc>
      </w:tr>
    </w:tbl>
    <w:p w:rsidR="006D4E9D" w:rsidRPr="005A0577" w:rsidRDefault="00B807E6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bookmarkStart w:id="10" w:name="_Toc54546497"/>
      <w:r w:rsidRPr="005A0577">
        <w:rPr>
          <w:rFonts w:ascii="Times New Roman" w:hAnsi="Times New Roman" w:cs="Times New Roman"/>
          <w:color w:val="000000"/>
        </w:rPr>
        <w:t>3</w:t>
      </w:r>
      <w:r w:rsidR="00ED438F" w:rsidRPr="005A0577">
        <w:rPr>
          <w:rFonts w:ascii="Times New Roman" w:hAnsi="Times New Roman" w:cs="Times New Roman"/>
          <w:color w:val="000000"/>
        </w:rPr>
        <w:t>. Негосударственный пенсионный фонд «Мета»</w:t>
      </w:r>
      <w:bookmarkEnd w:id="10"/>
    </w:p>
    <w:p w:rsidR="005A0577" w:rsidRDefault="005A0577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ED438F" w:rsidRPr="005A0577" w:rsidRDefault="00AB4C9F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Вкладчиками фонда на сегодняшний день являются 9 юридических лиц –</w:t>
      </w:r>
      <w:r w:rsidR="009C17FF" w:rsidRPr="005A0577">
        <w:rPr>
          <w:rFonts w:ascii="Times New Roman" w:hAnsi="Times New Roman"/>
        </w:rPr>
        <w:t xml:space="preserve"> предприятий и организаций промышленности, связи, жилищно-коммунального хозяйства, финансово-кредитной сферы.</w:t>
      </w:r>
    </w:p>
    <w:p w:rsidR="00F32377" w:rsidRPr="005A0577" w:rsidRDefault="00F32377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Было заключено 9 договоров негосударственного пенсионного обеспечения, которые, согласно актуарной классификации Инспекции НПФ, представляют собой пенсионные </w:t>
      </w:r>
      <w:r w:rsidR="00E27578" w:rsidRPr="005A0577">
        <w:rPr>
          <w:rFonts w:ascii="Times New Roman" w:hAnsi="Times New Roman"/>
        </w:rPr>
        <w:t>схемы с установленными взносами, фондируемые, сберегательные, индивидуальные, причем расторгнутых договоров не было.</w:t>
      </w:r>
    </w:p>
    <w:p w:rsidR="00E27578" w:rsidRPr="005A0577" w:rsidRDefault="00E27578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Пенсионные выплаты пока не производятся</w:t>
      </w:r>
      <w:r w:rsidR="000276F1" w:rsidRPr="005A0577">
        <w:rPr>
          <w:rFonts w:ascii="Times New Roman" w:hAnsi="Times New Roman"/>
        </w:rPr>
        <w:t>. Возрастной состав участников фонда на сегодняшний день показан ниже:</w:t>
      </w:r>
    </w:p>
    <w:p w:rsidR="000B2873" w:rsidRPr="005A0577" w:rsidRDefault="000B2873" w:rsidP="005A0577">
      <w:pPr>
        <w:pStyle w:val="ae"/>
        <w:spacing w:before="0" w:after="0" w:line="360" w:lineRule="auto"/>
        <w:ind w:firstLine="709"/>
        <w:jc w:val="right"/>
        <w:rPr>
          <w:sz w:val="28"/>
          <w:szCs w:val="28"/>
        </w:rPr>
      </w:pPr>
      <w:r w:rsidRPr="005A0577">
        <w:rPr>
          <w:sz w:val="28"/>
          <w:szCs w:val="28"/>
        </w:rPr>
        <w:t xml:space="preserve">Таблица </w:t>
      </w:r>
      <w:r w:rsidR="00A3471C" w:rsidRPr="005A0577">
        <w:rPr>
          <w:noProof/>
          <w:sz w:val="28"/>
          <w:szCs w:val="28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872"/>
        <w:gridCol w:w="2700"/>
        <w:gridCol w:w="1980"/>
      </w:tblGrid>
      <w:tr w:rsidR="005E75F6" w:rsidRPr="00406A5D" w:rsidTr="00406A5D"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5E75F6" w:rsidRPr="00406A5D" w:rsidRDefault="005E75F6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Мужчины</w:t>
            </w:r>
          </w:p>
        </w:tc>
        <w:tc>
          <w:tcPr>
            <w:tcW w:w="4680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E75F6" w:rsidRPr="00406A5D" w:rsidRDefault="005E75F6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Женщины</w:t>
            </w:r>
          </w:p>
        </w:tc>
      </w:tr>
      <w:tr w:rsidR="008E0378" w:rsidRPr="00406A5D" w:rsidTr="00406A5D">
        <w:tc>
          <w:tcPr>
            <w:tcW w:w="2376" w:type="dxa"/>
            <w:tcBorders>
              <w:left w:val="nil"/>
            </w:tcBorders>
            <w:shd w:val="clear" w:color="auto" w:fill="auto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Возрастная группа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Человек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Возрастная группа</w:t>
            </w:r>
          </w:p>
        </w:tc>
        <w:tc>
          <w:tcPr>
            <w:tcW w:w="1980" w:type="dxa"/>
            <w:tcBorders>
              <w:right w:val="nil"/>
            </w:tcBorders>
            <w:shd w:val="clear" w:color="auto" w:fill="auto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Человек</w:t>
            </w:r>
          </w:p>
        </w:tc>
      </w:tr>
      <w:tr w:rsidR="008E0378" w:rsidRPr="00406A5D" w:rsidTr="00406A5D">
        <w:tc>
          <w:tcPr>
            <w:tcW w:w="237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До 30 лет</w:t>
            </w:r>
          </w:p>
        </w:tc>
        <w:tc>
          <w:tcPr>
            <w:tcW w:w="1872" w:type="dxa"/>
            <w:tcBorders>
              <w:bottom w:val="nil"/>
            </w:tcBorders>
            <w:shd w:val="clear" w:color="auto" w:fill="auto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14</w:t>
            </w:r>
          </w:p>
        </w:tc>
        <w:tc>
          <w:tcPr>
            <w:tcW w:w="2700" w:type="dxa"/>
            <w:tcBorders>
              <w:bottom w:val="nil"/>
            </w:tcBorders>
            <w:shd w:val="clear" w:color="auto" w:fill="auto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До 30 лет</w:t>
            </w:r>
          </w:p>
        </w:tc>
        <w:tc>
          <w:tcPr>
            <w:tcW w:w="198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5</w:t>
            </w:r>
          </w:p>
        </w:tc>
      </w:tr>
      <w:tr w:rsidR="008E0378" w:rsidRPr="00406A5D" w:rsidTr="00406A5D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От 30 до 40 лет</w:t>
            </w:r>
          </w:p>
        </w:tc>
        <w:tc>
          <w:tcPr>
            <w:tcW w:w="18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68</w:t>
            </w:r>
          </w:p>
        </w:tc>
        <w:tc>
          <w:tcPr>
            <w:tcW w:w="27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От 30 до 40 лет</w:t>
            </w:r>
          </w:p>
        </w:tc>
        <w:tc>
          <w:tcPr>
            <w:tcW w:w="19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25</w:t>
            </w:r>
          </w:p>
        </w:tc>
      </w:tr>
      <w:tr w:rsidR="008E0378" w:rsidRPr="00406A5D" w:rsidTr="00406A5D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От 40 до 50 лет</w:t>
            </w:r>
          </w:p>
        </w:tc>
        <w:tc>
          <w:tcPr>
            <w:tcW w:w="18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485</w:t>
            </w:r>
          </w:p>
        </w:tc>
        <w:tc>
          <w:tcPr>
            <w:tcW w:w="27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От 40 до 50 лет</w:t>
            </w:r>
          </w:p>
        </w:tc>
        <w:tc>
          <w:tcPr>
            <w:tcW w:w="19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399</w:t>
            </w:r>
          </w:p>
        </w:tc>
      </w:tr>
      <w:tr w:rsidR="008E0378" w:rsidRPr="00406A5D" w:rsidTr="00406A5D">
        <w:tc>
          <w:tcPr>
            <w:tcW w:w="2376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От 50 до 55 лет</w:t>
            </w:r>
          </w:p>
        </w:tc>
        <w:tc>
          <w:tcPr>
            <w:tcW w:w="18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151</w:t>
            </w:r>
          </w:p>
        </w:tc>
        <w:tc>
          <w:tcPr>
            <w:tcW w:w="2700" w:type="dxa"/>
            <w:tcBorders>
              <w:top w:val="nil"/>
              <w:bottom w:val="nil"/>
            </w:tcBorders>
            <w:shd w:val="clear" w:color="auto" w:fill="CCCCCC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От 50 до 55 лет</w:t>
            </w:r>
          </w:p>
        </w:tc>
        <w:tc>
          <w:tcPr>
            <w:tcW w:w="1980" w:type="dxa"/>
            <w:tcBorders>
              <w:top w:val="nil"/>
              <w:bottom w:val="nil"/>
              <w:right w:val="nil"/>
            </w:tcBorders>
            <w:shd w:val="clear" w:color="auto" w:fill="CCCCCC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241</w:t>
            </w:r>
          </w:p>
        </w:tc>
      </w:tr>
      <w:tr w:rsidR="008E0378" w:rsidRPr="00406A5D" w:rsidTr="00406A5D">
        <w:tc>
          <w:tcPr>
            <w:tcW w:w="2376" w:type="dxa"/>
            <w:tcBorders>
              <w:top w:val="nil"/>
              <w:left w:val="nil"/>
            </w:tcBorders>
            <w:shd w:val="clear" w:color="auto" w:fill="CCCCCC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Старше 55 лет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CCCCCC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155</w:t>
            </w:r>
          </w:p>
        </w:tc>
        <w:tc>
          <w:tcPr>
            <w:tcW w:w="2700" w:type="dxa"/>
            <w:tcBorders>
              <w:top w:val="nil"/>
            </w:tcBorders>
            <w:shd w:val="clear" w:color="auto" w:fill="CCCCCC"/>
            <w:vAlign w:val="center"/>
          </w:tcPr>
          <w:p w:rsidR="008E0378" w:rsidRPr="00406A5D" w:rsidRDefault="008E0378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Старше 55 лет</w:t>
            </w:r>
          </w:p>
        </w:tc>
        <w:tc>
          <w:tcPr>
            <w:tcW w:w="1980" w:type="dxa"/>
            <w:tcBorders>
              <w:top w:val="nil"/>
              <w:right w:val="nil"/>
            </w:tcBorders>
            <w:shd w:val="clear" w:color="auto" w:fill="CCCCCC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</w:rPr>
            </w:pPr>
            <w:r w:rsidRPr="00406A5D">
              <w:rPr>
                <w:rFonts w:ascii="Times New Roman" w:hAnsi="Times New Roman"/>
              </w:rPr>
              <w:t>164</w:t>
            </w:r>
          </w:p>
        </w:tc>
      </w:tr>
      <w:tr w:rsidR="008E0378" w:rsidRPr="00406A5D" w:rsidTr="00406A5D">
        <w:tc>
          <w:tcPr>
            <w:tcW w:w="2376" w:type="dxa"/>
            <w:tcBorders>
              <w:left w:val="nil"/>
            </w:tcBorders>
            <w:shd w:val="clear" w:color="auto" w:fill="auto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573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980" w:type="dxa"/>
            <w:tcBorders>
              <w:right w:val="nil"/>
            </w:tcBorders>
            <w:shd w:val="clear" w:color="auto" w:fill="auto"/>
            <w:vAlign w:val="center"/>
          </w:tcPr>
          <w:p w:rsidR="008E0378" w:rsidRPr="00406A5D" w:rsidRDefault="00FE2242" w:rsidP="00406A5D">
            <w:pPr>
              <w:pStyle w:val="a7"/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 w:rsidRPr="00406A5D">
              <w:rPr>
                <w:rFonts w:ascii="Times New Roman" w:hAnsi="Times New Roman"/>
                <w:b/>
              </w:rPr>
              <w:t>834</w:t>
            </w:r>
          </w:p>
        </w:tc>
      </w:tr>
    </w:tbl>
    <w:p w:rsidR="000276F1" w:rsidRPr="005A0577" w:rsidRDefault="00281CC1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Серым фоном выделены 25% участников-мужчин (155 человек) почти половина участников-женщин (405 человек), которые уже получают государственную пенсию</w:t>
      </w:r>
      <w:r w:rsidR="007B59B1" w:rsidRPr="005A0577">
        <w:rPr>
          <w:rFonts w:ascii="Times New Roman" w:hAnsi="Times New Roman"/>
        </w:rPr>
        <w:t xml:space="preserve"> по возрасту, но в то же время в соответствии с Положениями об НПО, действующими на предприятиях-вкладчиках, еще не приобрели права на негосударственную пенсию. Временной лаг между началом выплат государственных пенсий и негосударственных пенсионных выплат, который, как мы видим, в г. Сыктывкаре может составлять от 10 до 12 лет, и есть один из важнейших стимулов развития НПО в республике, особенно в плоскости возрастных льгот, предоставляемых северянам Законом РФ «О государственных гаранти</w:t>
      </w:r>
      <w:r w:rsidR="00DC1477" w:rsidRPr="005A0577">
        <w:rPr>
          <w:rFonts w:ascii="Times New Roman" w:hAnsi="Times New Roman"/>
        </w:rPr>
        <w:t>ях и компенсациях для лиц, проживающих в районах Крайнего Севера и приравненных к ним местностях» от 19 февраля 1993 г. №4520-1.</w:t>
      </w:r>
    </w:p>
    <w:p w:rsidR="004770AF" w:rsidRPr="005A0577" w:rsidRDefault="004770AF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Фонд имел приостановленную лицензию в связи с нарушением ограничения по доле пенсионных резервов, размещенных в недвижимость, и в силу этого не имеет права расширять круг учредителей. Это затрудняет, во-первых, доведения совокупного вклада учредителей до установленного законом уровня (15000 МРОТ); во-вторых, делает проблематичным простое наращивание пенсионных резервов с целью приведения их структуры в рамки требований Инспекции НПФ, что позволило бы восстановить лицензию. Получается своего рода замкнутый круг, выхода из которого не видно.</w:t>
      </w:r>
    </w:p>
    <w:p w:rsidR="005A0577" w:rsidRDefault="005A0577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bookmarkStart w:id="11" w:name="_Toc54546498"/>
    </w:p>
    <w:p w:rsidR="004770AF" w:rsidRPr="005A0577" w:rsidRDefault="00B807E6" w:rsidP="005A0577">
      <w:pPr>
        <w:pStyle w:val="20"/>
        <w:spacing w:before="0" w:after="0" w:line="360" w:lineRule="auto"/>
        <w:ind w:firstLine="709"/>
        <w:jc w:val="center"/>
        <w:rPr>
          <w:rFonts w:ascii="Times New Roman" w:hAnsi="Times New Roman" w:cs="Times New Roman"/>
        </w:rPr>
      </w:pPr>
      <w:r w:rsidRPr="005A0577">
        <w:rPr>
          <w:rFonts w:ascii="Times New Roman" w:hAnsi="Times New Roman" w:cs="Times New Roman"/>
        </w:rPr>
        <w:t>4</w:t>
      </w:r>
      <w:r w:rsidR="004770AF" w:rsidRPr="005A0577">
        <w:rPr>
          <w:rFonts w:ascii="Times New Roman" w:hAnsi="Times New Roman" w:cs="Times New Roman"/>
        </w:rPr>
        <w:t>. Негосударственный пенсионный фонд «Полярный»</w:t>
      </w:r>
      <w:bookmarkEnd w:id="11"/>
    </w:p>
    <w:p w:rsidR="005A0577" w:rsidRDefault="005A0577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4770AF" w:rsidRPr="005A0577" w:rsidRDefault="004770AF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Соучредителем фонда является Администрация Главы Республики Коми. Стоит отметить, что Указом Главы РК от 15 октября 1997 г. </w:t>
      </w:r>
      <w:r w:rsidR="005A3C3B" w:rsidRPr="005A0577">
        <w:rPr>
          <w:rFonts w:ascii="Times New Roman" w:hAnsi="Times New Roman"/>
        </w:rPr>
        <w:t>№292 фонду отведена роль «главного» регионального НПФ.</w:t>
      </w:r>
    </w:p>
    <w:p w:rsidR="000276F1" w:rsidRPr="005A0577" w:rsidRDefault="00185506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Поскольку оба названных обстоятельства юридически до сих пор остаются в силе</w:t>
      </w:r>
      <w:r w:rsidR="00641A29" w:rsidRPr="005A0577">
        <w:rPr>
          <w:rFonts w:ascii="Times New Roman" w:hAnsi="Times New Roman"/>
        </w:rPr>
        <w:t xml:space="preserve">, то можно считать, что (хотя бы теоретически) </w:t>
      </w:r>
      <w:r w:rsidR="009C18ED" w:rsidRPr="005A0577">
        <w:rPr>
          <w:rFonts w:ascii="Times New Roman" w:hAnsi="Times New Roman"/>
        </w:rPr>
        <w:t>шансы «Полярного» стать в перспективе лидером регионального рынка НПО все еще сохраняются.</w:t>
      </w:r>
    </w:p>
    <w:p w:rsidR="009C18ED" w:rsidRPr="005A0577" w:rsidRDefault="009C18ED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Откровенно говоря, картина представляется унылая, если обозреть пейзаж регионального негосударственного пенсионного обеспечения. Но если сравнить республику с другими регионами России, то становится ясно, что состояние НПО у нас ничем не лучше и не хуже, чем в среднем у остальных областей, за исключением, может быть, пяти-шести регионов из 89.</w:t>
      </w:r>
    </w:p>
    <w:p w:rsidR="00763536" w:rsidRDefault="00763536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5A0577" w:rsidRPr="005A0577" w:rsidRDefault="005A0577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  <w:sectPr w:rsidR="005A0577" w:rsidRPr="005A0577" w:rsidSect="005A0577">
          <w:headerReference w:type="even" r:id="rId9"/>
          <w:headerReference w:type="default" r:id="rId10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D438F" w:rsidRPr="005A0577" w:rsidRDefault="00763536" w:rsidP="005A057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Toc54546499"/>
      <w:r w:rsidRPr="005A0577">
        <w:rPr>
          <w:rFonts w:ascii="Times New Roman" w:hAnsi="Times New Roman" w:cs="Times New Roman"/>
          <w:sz w:val="28"/>
          <w:szCs w:val="28"/>
        </w:rPr>
        <w:t>Заключение</w:t>
      </w:r>
      <w:bookmarkEnd w:id="12"/>
    </w:p>
    <w:p w:rsidR="005A0577" w:rsidRDefault="005A0577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712A23" w:rsidRPr="005A0577" w:rsidRDefault="00763536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Анализируя вышеизложенное, можно заметить, что на данном этапе развития негосударственные пенсионные фонды в силу определенных обстоятельств не играют значительной роли в пенсионном обеспечении граждан как по России, так и по Республике Коми. Однако это не говорит о стагнации в развитии негосударственного пенсионного обеспечения.</w:t>
      </w:r>
      <w:r w:rsidR="0041676D" w:rsidRPr="005A0577">
        <w:rPr>
          <w:rFonts w:ascii="Times New Roman" w:hAnsi="Times New Roman"/>
        </w:rPr>
        <w:t xml:space="preserve"> Предпринимаемые правительством РК меры, разрабатываемые нормативно-правовые акты свидетельствуют о поэтапном развитии НПФ на территории РК.</w:t>
      </w:r>
      <w:r w:rsidR="00785871" w:rsidRPr="005A0577">
        <w:rPr>
          <w:rFonts w:ascii="Times New Roman" w:hAnsi="Times New Roman"/>
        </w:rPr>
        <w:t xml:space="preserve"> Нынешнее состояние НПФ необходимо развивать, учитывая зарубежный опыт, который и нужно изучать.</w:t>
      </w:r>
    </w:p>
    <w:p w:rsidR="00853A9F" w:rsidRPr="005A0577" w:rsidRDefault="00853A9F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</w:pPr>
    </w:p>
    <w:p w:rsidR="00853A9F" w:rsidRPr="005A0577" w:rsidRDefault="00853A9F" w:rsidP="005A0577">
      <w:pPr>
        <w:pStyle w:val="a7"/>
        <w:spacing w:after="0" w:line="360" w:lineRule="auto"/>
        <w:ind w:firstLine="709"/>
        <w:jc w:val="both"/>
        <w:rPr>
          <w:rFonts w:ascii="Times New Roman" w:hAnsi="Times New Roman"/>
        </w:rPr>
        <w:sectPr w:rsidR="00853A9F" w:rsidRPr="005A0577" w:rsidSect="005A0577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53A9F" w:rsidRDefault="00853A9F" w:rsidP="005A057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_Toc54546500"/>
      <w:r w:rsidRPr="005A0577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13"/>
    </w:p>
    <w:p w:rsidR="005A0577" w:rsidRPr="005A0577" w:rsidRDefault="005A0577" w:rsidP="005A0577">
      <w:pPr>
        <w:tabs>
          <w:tab w:val="left" w:pos="0"/>
        </w:tabs>
      </w:pPr>
    </w:p>
    <w:p w:rsidR="00853A9F" w:rsidRPr="005A0577" w:rsidRDefault="00853A9F" w:rsidP="005A0577">
      <w:pPr>
        <w:pStyle w:val="a7"/>
        <w:numPr>
          <w:ilvl w:val="0"/>
          <w:numId w:val="6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«О государственных пенсиях в РФ»: Закон РСФСР от 20 ноября 1990 г. №340-1</w:t>
      </w:r>
    </w:p>
    <w:p w:rsidR="00853A9F" w:rsidRPr="005A0577" w:rsidRDefault="0087710D" w:rsidP="005A0577">
      <w:pPr>
        <w:pStyle w:val="a7"/>
        <w:numPr>
          <w:ilvl w:val="0"/>
          <w:numId w:val="6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«О негосударственных пенсионных фондах»: Федеральный закон от 7 мая 1998 г. №75-ФЗ</w:t>
      </w:r>
    </w:p>
    <w:p w:rsidR="0087710D" w:rsidRPr="005A0577" w:rsidRDefault="0087710D" w:rsidP="005A0577">
      <w:pPr>
        <w:pStyle w:val="a7"/>
        <w:numPr>
          <w:ilvl w:val="0"/>
          <w:numId w:val="6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Игнатов А.В. Пенсионное обеспечение: сегодняшний и завтрашний день. Сыктывкар: 2001</w:t>
      </w:r>
    </w:p>
    <w:p w:rsidR="005E7F5B" w:rsidRPr="005A0577" w:rsidRDefault="005E7F5B" w:rsidP="005A0577">
      <w:pPr>
        <w:pStyle w:val="a7"/>
        <w:numPr>
          <w:ilvl w:val="0"/>
          <w:numId w:val="6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Материалы Центра стратегических разработок (под рук. Г.Грефа) – </w:t>
      </w:r>
      <w:r w:rsidRPr="006169A7">
        <w:rPr>
          <w:rFonts w:ascii="Times New Roman" w:hAnsi="Times New Roman"/>
        </w:rPr>
        <w:t>http://www.csr.ru/</w:t>
      </w:r>
    </w:p>
    <w:p w:rsidR="005E7F5B" w:rsidRPr="005A0577" w:rsidRDefault="005E7F5B" w:rsidP="005A0577">
      <w:pPr>
        <w:pStyle w:val="a7"/>
        <w:numPr>
          <w:ilvl w:val="0"/>
          <w:numId w:val="6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Материалы сайта «Лаборатория пенсионных систем» – </w:t>
      </w:r>
      <w:r w:rsidRPr="006169A7">
        <w:rPr>
          <w:rFonts w:ascii="Times New Roman" w:hAnsi="Times New Roman"/>
        </w:rPr>
        <w:t>http://www.ice.ru/</w:t>
      </w:r>
    </w:p>
    <w:p w:rsidR="005E7F5B" w:rsidRPr="005A0577" w:rsidRDefault="005E7F5B" w:rsidP="005A0577">
      <w:pPr>
        <w:pStyle w:val="a7"/>
        <w:numPr>
          <w:ilvl w:val="0"/>
          <w:numId w:val="6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Материалы сайта </w:t>
      </w:r>
      <w:r w:rsidRPr="005A0577">
        <w:rPr>
          <w:rFonts w:ascii="Times New Roman" w:hAnsi="Times New Roman"/>
          <w:lang w:val="en-US"/>
        </w:rPr>
        <w:t>Pensionline</w:t>
      </w:r>
      <w:r w:rsidRPr="005A0577">
        <w:rPr>
          <w:rFonts w:ascii="Times New Roman" w:hAnsi="Times New Roman"/>
        </w:rPr>
        <w:t xml:space="preserve"> – </w:t>
      </w:r>
      <w:r w:rsidRPr="006169A7">
        <w:rPr>
          <w:rFonts w:ascii="Times New Roman" w:hAnsi="Times New Roman"/>
          <w:lang w:val="en-US"/>
        </w:rPr>
        <w:t>http</w:t>
      </w:r>
      <w:r w:rsidRPr="006169A7">
        <w:rPr>
          <w:rFonts w:ascii="Times New Roman" w:hAnsi="Times New Roman"/>
        </w:rPr>
        <w:t>://</w:t>
      </w:r>
      <w:r w:rsidRPr="006169A7">
        <w:rPr>
          <w:rFonts w:ascii="Times New Roman" w:hAnsi="Times New Roman"/>
          <w:lang w:val="en-US"/>
        </w:rPr>
        <w:t>www</w:t>
      </w:r>
      <w:r w:rsidRPr="006169A7">
        <w:rPr>
          <w:rFonts w:ascii="Times New Roman" w:hAnsi="Times New Roman"/>
        </w:rPr>
        <w:t>.</w:t>
      </w:r>
      <w:r w:rsidRPr="006169A7">
        <w:rPr>
          <w:rFonts w:ascii="Times New Roman" w:hAnsi="Times New Roman"/>
          <w:lang w:val="en-US"/>
        </w:rPr>
        <w:t>pensionline</w:t>
      </w:r>
      <w:r w:rsidRPr="006169A7">
        <w:rPr>
          <w:rFonts w:ascii="Times New Roman" w:hAnsi="Times New Roman"/>
        </w:rPr>
        <w:t>.</w:t>
      </w:r>
      <w:r w:rsidRPr="006169A7">
        <w:rPr>
          <w:rFonts w:ascii="Times New Roman" w:hAnsi="Times New Roman"/>
          <w:lang w:val="en-US"/>
        </w:rPr>
        <w:t>ru</w:t>
      </w:r>
      <w:r w:rsidRPr="006169A7">
        <w:rPr>
          <w:rFonts w:ascii="Times New Roman" w:hAnsi="Times New Roman"/>
        </w:rPr>
        <w:t>/</w:t>
      </w:r>
    </w:p>
    <w:p w:rsidR="005E7F5B" w:rsidRPr="005A0577" w:rsidRDefault="007C724C" w:rsidP="005A0577">
      <w:pPr>
        <w:pStyle w:val="a7"/>
        <w:numPr>
          <w:ilvl w:val="0"/>
          <w:numId w:val="6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 xml:space="preserve">Материалы сайта «Фонд информационной поддержки экономических реформ (ФИПЕР)» – </w:t>
      </w:r>
      <w:r w:rsidRPr="006169A7">
        <w:rPr>
          <w:rFonts w:ascii="Times New Roman" w:hAnsi="Times New Roman"/>
        </w:rPr>
        <w:t>http://www.fiper.ru/</w:t>
      </w:r>
    </w:p>
    <w:p w:rsidR="007C724C" w:rsidRPr="005A0577" w:rsidRDefault="007C724C" w:rsidP="005A0577">
      <w:pPr>
        <w:pStyle w:val="a7"/>
        <w:numPr>
          <w:ilvl w:val="0"/>
          <w:numId w:val="6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</w:rPr>
      </w:pPr>
      <w:r w:rsidRPr="005A0577">
        <w:rPr>
          <w:rFonts w:ascii="Times New Roman" w:hAnsi="Times New Roman"/>
        </w:rPr>
        <w:t>Материалы сайта «Российское общество актуариев» – http://www.fe.msk.ru/pensionreform/actuary</w:t>
      </w:r>
    </w:p>
    <w:p w:rsidR="00E10B9D" w:rsidRPr="005A0577" w:rsidRDefault="00E10B9D" w:rsidP="005A0577">
      <w:pPr>
        <w:pStyle w:val="a7"/>
        <w:spacing w:after="0" w:line="360" w:lineRule="auto"/>
        <w:ind w:firstLine="709"/>
        <w:rPr>
          <w:rFonts w:ascii="Times New Roman" w:hAnsi="Times New Roman"/>
        </w:rPr>
      </w:pPr>
      <w:r w:rsidRPr="005A0577">
        <w:rPr>
          <w:rFonts w:ascii="Times New Roman" w:hAnsi="Times New Roman"/>
        </w:rPr>
        <w:br w:type="page"/>
        <w:t>Диаграмма1. Число негосударственных пенсионных фондов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 xml:space="preserve">                        (количество действующих лицензий)</w:t>
      </w:r>
    </w:p>
    <w:p w:rsidR="00E10B9D" w:rsidRPr="005A0577" w:rsidRDefault="00CB7203" w:rsidP="005A05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225pt" fillcolor="window">
            <v:imagedata r:id="rId11" o:title=""/>
          </v:shape>
        </w:pict>
      </w:r>
    </w:p>
    <w:p w:rsidR="00E10B9D" w:rsidRPr="005A0577" w:rsidRDefault="00E10B9D" w:rsidP="005A0577">
      <w:pPr>
        <w:spacing w:line="360" w:lineRule="auto"/>
        <w:ind w:firstLine="709"/>
        <w:jc w:val="center"/>
        <w:rPr>
          <w:sz w:val="28"/>
          <w:szCs w:val="28"/>
        </w:rPr>
      </w:pP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>Диаграмма 2. Изменение имущества фондов по времени (млн. рублей)</w:t>
      </w:r>
    </w:p>
    <w:p w:rsidR="00E10B9D" w:rsidRPr="005A0577" w:rsidRDefault="00CB7203" w:rsidP="005A05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26" type="#_x0000_t75" style="width:421.5pt;height:225pt" fillcolor="window">
            <v:imagedata r:id="rId12" o:title=""/>
          </v:shape>
        </w:pic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br w:type="page"/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 xml:space="preserve">Диаграмма 3 Структура фондов по величине пенсионных резервов 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 xml:space="preserve">                       (в процентах от общего числа)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</w:p>
    <w:p w:rsidR="00E10B9D" w:rsidRPr="005A0577" w:rsidRDefault="00CB7203" w:rsidP="005A05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00.5pt;height:223.5pt" fillcolor="window">
            <v:imagedata r:id="rId13" o:title=""/>
          </v:shape>
        </w:pic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>Диаграмма 4 Величина пенсионных взносов (млн. руб.)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 xml:space="preserve">                       для различных групп фондов по величине пенсионных резервов 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</w:p>
    <w:p w:rsidR="00E10B9D" w:rsidRPr="005A0577" w:rsidRDefault="00CB7203" w:rsidP="005A05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91.5pt;height:253.5pt" fillcolor="window">
            <v:imagedata r:id="rId14" o:title=""/>
          </v:shape>
        </w:pic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br w:type="page"/>
        <w:t>Диаграмма 5 Доля взносов физических лиц (%)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 xml:space="preserve">                       для различных групп фондов по величине пенсионных резервов 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</w:p>
    <w:p w:rsidR="00E10B9D" w:rsidRPr="005A0577" w:rsidRDefault="00CB7203" w:rsidP="005A05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11pt;height:240pt" fillcolor="window">
            <v:imagedata r:id="rId15" o:title=""/>
          </v:shape>
        </w:pic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 xml:space="preserve">Диаграмма 6 Соотношение пенсионных резервов фонда и средней величины 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 xml:space="preserve">                       выплачиваемой пенсии 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</w:p>
    <w:p w:rsidR="00E10B9D" w:rsidRPr="005A0577" w:rsidRDefault="00CB7203" w:rsidP="005A05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26pt;height:250.5pt" fillcolor="window">
            <v:imagedata r:id="rId16" o:title=""/>
          </v:shape>
        </w:pic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br w:type="page"/>
        <w:t xml:space="preserve">Диаграмма 7. Структура пенсионных резервов НПФ по отраслям хозяйства 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 xml:space="preserve">                       (в процентах от суммы по фондам)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</w:p>
    <w:p w:rsidR="00E10B9D" w:rsidRPr="005A0577" w:rsidRDefault="00CB7203" w:rsidP="005A05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02pt;height:225pt">
            <v:imagedata r:id="rId17" o:title=""/>
          </v:shape>
        </w:pict>
      </w:r>
    </w:p>
    <w:p w:rsidR="00E10B9D" w:rsidRPr="005A0577" w:rsidRDefault="00E10B9D" w:rsidP="005A0577">
      <w:pPr>
        <w:spacing w:line="360" w:lineRule="auto"/>
        <w:ind w:firstLine="709"/>
        <w:jc w:val="both"/>
        <w:rPr>
          <w:sz w:val="28"/>
          <w:szCs w:val="28"/>
        </w:rPr>
      </w:pP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>Диаграмма 8. Структура участников НПФ по отраслям хозяйства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  <w:r w:rsidRPr="005A0577">
        <w:rPr>
          <w:sz w:val="28"/>
          <w:szCs w:val="28"/>
        </w:rPr>
        <w:t xml:space="preserve">                         (в процентах от общего числа участников)</w:t>
      </w:r>
    </w:p>
    <w:p w:rsidR="00E10B9D" w:rsidRPr="005A0577" w:rsidRDefault="00E10B9D" w:rsidP="005A0577">
      <w:pPr>
        <w:spacing w:line="360" w:lineRule="auto"/>
        <w:ind w:firstLine="709"/>
        <w:rPr>
          <w:sz w:val="28"/>
          <w:szCs w:val="28"/>
        </w:rPr>
      </w:pPr>
    </w:p>
    <w:p w:rsidR="00234882" w:rsidRPr="005A0577" w:rsidRDefault="00CB7203" w:rsidP="005A057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26pt;height:241.5pt">
            <v:imagedata r:id="rId18" o:title=""/>
          </v:shape>
        </w:pict>
      </w:r>
      <w:r w:rsidR="00E10B9D" w:rsidRPr="005A0577">
        <w:rPr>
          <w:sz w:val="28"/>
          <w:szCs w:val="28"/>
        </w:rPr>
        <w:t xml:space="preserve"> </w:t>
      </w:r>
      <w:bookmarkStart w:id="14" w:name="_GoBack"/>
      <w:bookmarkEnd w:id="14"/>
    </w:p>
    <w:sectPr w:rsidR="00234882" w:rsidRPr="005A0577" w:rsidSect="005A0577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A5D" w:rsidRDefault="00406A5D">
      <w:r>
        <w:separator/>
      </w:r>
    </w:p>
  </w:endnote>
  <w:endnote w:type="continuationSeparator" w:id="0">
    <w:p w:rsidR="00406A5D" w:rsidRDefault="00406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A5D" w:rsidRDefault="00406A5D">
      <w:r>
        <w:separator/>
      </w:r>
    </w:p>
  </w:footnote>
  <w:footnote w:type="continuationSeparator" w:id="0">
    <w:p w:rsidR="00406A5D" w:rsidRDefault="00406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12" w:rsidRDefault="00946812" w:rsidP="00570656">
    <w:pPr>
      <w:pStyle w:val="a9"/>
      <w:framePr w:wrap="around" w:vAnchor="text" w:hAnchor="margin" w:xAlign="right" w:y="1"/>
      <w:rPr>
        <w:rStyle w:val="ab"/>
      </w:rPr>
    </w:pPr>
  </w:p>
  <w:p w:rsidR="00946812" w:rsidRDefault="00946812" w:rsidP="00570656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12" w:rsidRDefault="006169A7" w:rsidP="00570656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946812" w:rsidRDefault="00946812" w:rsidP="00570656">
    <w:pPr>
      <w:pStyle w:val="a9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12" w:rsidRDefault="00946812">
    <w:pPr>
      <w:pStyle w:val="a9"/>
      <w:framePr w:wrap="around" w:vAnchor="text" w:hAnchor="margin" w:xAlign="center" w:y="1"/>
      <w:rPr>
        <w:rStyle w:val="ab"/>
      </w:rPr>
    </w:pPr>
  </w:p>
  <w:p w:rsidR="00946812" w:rsidRDefault="00946812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12" w:rsidRDefault="005B1537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31</w:t>
    </w:r>
  </w:p>
  <w:p w:rsidR="00946812" w:rsidRDefault="00946812" w:rsidP="0023488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B74E1"/>
    <w:multiLevelType w:val="hybridMultilevel"/>
    <w:tmpl w:val="C9265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E1437D"/>
    <w:multiLevelType w:val="hybridMultilevel"/>
    <w:tmpl w:val="9E6E7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AF20D6"/>
    <w:multiLevelType w:val="hybridMultilevel"/>
    <w:tmpl w:val="3CD051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19F07C8"/>
    <w:multiLevelType w:val="hybridMultilevel"/>
    <w:tmpl w:val="DF5ED12A"/>
    <w:lvl w:ilvl="0" w:tplc="FFFFFFFF">
      <w:start w:val="1"/>
      <w:numFmt w:val="bullet"/>
      <w:pStyle w:val="2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3CE26869"/>
    <w:multiLevelType w:val="hybridMultilevel"/>
    <w:tmpl w:val="83E8EE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996078"/>
    <w:multiLevelType w:val="hybridMultilevel"/>
    <w:tmpl w:val="31F02E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737"/>
    <w:rsid w:val="00002B84"/>
    <w:rsid w:val="00003A9C"/>
    <w:rsid w:val="0001768E"/>
    <w:rsid w:val="000276F1"/>
    <w:rsid w:val="000716D3"/>
    <w:rsid w:val="00074223"/>
    <w:rsid w:val="000774E5"/>
    <w:rsid w:val="000814BA"/>
    <w:rsid w:val="00081FBA"/>
    <w:rsid w:val="0008768A"/>
    <w:rsid w:val="000967F7"/>
    <w:rsid w:val="000A58DC"/>
    <w:rsid w:val="000B2873"/>
    <w:rsid w:val="000E0AF3"/>
    <w:rsid w:val="00110718"/>
    <w:rsid w:val="0011446D"/>
    <w:rsid w:val="001163C5"/>
    <w:rsid w:val="00146CAF"/>
    <w:rsid w:val="00167D86"/>
    <w:rsid w:val="00185506"/>
    <w:rsid w:val="001968EB"/>
    <w:rsid w:val="0019733A"/>
    <w:rsid w:val="001A0DC9"/>
    <w:rsid w:val="001A3D3E"/>
    <w:rsid w:val="001D46D9"/>
    <w:rsid w:val="001F1C51"/>
    <w:rsid w:val="002003FB"/>
    <w:rsid w:val="002208FB"/>
    <w:rsid w:val="002266E9"/>
    <w:rsid w:val="00234882"/>
    <w:rsid w:val="00281CC1"/>
    <w:rsid w:val="0028649D"/>
    <w:rsid w:val="00292571"/>
    <w:rsid w:val="002A12D3"/>
    <w:rsid w:val="002C7B6D"/>
    <w:rsid w:val="002D08B5"/>
    <w:rsid w:val="002D151B"/>
    <w:rsid w:val="002D2FBF"/>
    <w:rsid w:val="00323266"/>
    <w:rsid w:val="00335571"/>
    <w:rsid w:val="00340119"/>
    <w:rsid w:val="003542CF"/>
    <w:rsid w:val="0037754D"/>
    <w:rsid w:val="00387DF2"/>
    <w:rsid w:val="00387F2A"/>
    <w:rsid w:val="003962EB"/>
    <w:rsid w:val="003F1B90"/>
    <w:rsid w:val="003F5865"/>
    <w:rsid w:val="00406A5D"/>
    <w:rsid w:val="00414BD7"/>
    <w:rsid w:val="0041676D"/>
    <w:rsid w:val="004211B3"/>
    <w:rsid w:val="00436DCC"/>
    <w:rsid w:val="0045304C"/>
    <w:rsid w:val="00457576"/>
    <w:rsid w:val="004770AF"/>
    <w:rsid w:val="00483ECD"/>
    <w:rsid w:val="00492C5C"/>
    <w:rsid w:val="004B6D98"/>
    <w:rsid w:val="004C3ACC"/>
    <w:rsid w:val="004D6C7B"/>
    <w:rsid w:val="004E32C6"/>
    <w:rsid w:val="004E351F"/>
    <w:rsid w:val="005162DA"/>
    <w:rsid w:val="005467BF"/>
    <w:rsid w:val="00552461"/>
    <w:rsid w:val="00570656"/>
    <w:rsid w:val="0057303B"/>
    <w:rsid w:val="005766F7"/>
    <w:rsid w:val="005A0577"/>
    <w:rsid w:val="005A3C3B"/>
    <w:rsid w:val="005B1537"/>
    <w:rsid w:val="005B3443"/>
    <w:rsid w:val="005D4DCA"/>
    <w:rsid w:val="005E75F6"/>
    <w:rsid w:val="005E7F5B"/>
    <w:rsid w:val="0061448F"/>
    <w:rsid w:val="006169A7"/>
    <w:rsid w:val="006250CC"/>
    <w:rsid w:val="006328AD"/>
    <w:rsid w:val="006375DC"/>
    <w:rsid w:val="00637F83"/>
    <w:rsid w:val="00641A29"/>
    <w:rsid w:val="0064236F"/>
    <w:rsid w:val="00644F30"/>
    <w:rsid w:val="00656A3B"/>
    <w:rsid w:val="00657355"/>
    <w:rsid w:val="00660C83"/>
    <w:rsid w:val="006849FD"/>
    <w:rsid w:val="006A1240"/>
    <w:rsid w:val="006A2345"/>
    <w:rsid w:val="006B45A0"/>
    <w:rsid w:val="006C3B30"/>
    <w:rsid w:val="006D32F6"/>
    <w:rsid w:val="006D4E9D"/>
    <w:rsid w:val="006E0C82"/>
    <w:rsid w:val="00712A23"/>
    <w:rsid w:val="00763536"/>
    <w:rsid w:val="007855E5"/>
    <w:rsid w:val="00785871"/>
    <w:rsid w:val="007A043A"/>
    <w:rsid w:val="007A7C3D"/>
    <w:rsid w:val="007B59B1"/>
    <w:rsid w:val="007C391B"/>
    <w:rsid w:val="007C724C"/>
    <w:rsid w:val="007D4DD4"/>
    <w:rsid w:val="007F09C4"/>
    <w:rsid w:val="007F42B5"/>
    <w:rsid w:val="0080288F"/>
    <w:rsid w:val="008061B2"/>
    <w:rsid w:val="008217CA"/>
    <w:rsid w:val="0083568B"/>
    <w:rsid w:val="00853A9F"/>
    <w:rsid w:val="0087710D"/>
    <w:rsid w:val="008972F5"/>
    <w:rsid w:val="008D71F9"/>
    <w:rsid w:val="008E0378"/>
    <w:rsid w:val="008E07FF"/>
    <w:rsid w:val="009102C6"/>
    <w:rsid w:val="00946812"/>
    <w:rsid w:val="009517E1"/>
    <w:rsid w:val="009551A8"/>
    <w:rsid w:val="009716AF"/>
    <w:rsid w:val="00985949"/>
    <w:rsid w:val="009B4103"/>
    <w:rsid w:val="009C17FF"/>
    <w:rsid w:val="009C18ED"/>
    <w:rsid w:val="009C2885"/>
    <w:rsid w:val="00A13278"/>
    <w:rsid w:val="00A214B3"/>
    <w:rsid w:val="00A27C99"/>
    <w:rsid w:val="00A3471C"/>
    <w:rsid w:val="00A347AC"/>
    <w:rsid w:val="00A52418"/>
    <w:rsid w:val="00A642F4"/>
    <w:rsid w:val="00A65B11"/>
    <w:rsid w:val="00A70D48"/>
    <w:rsid w:val="00A7167E"/>
    <w:rsid w:val="00A72A58"/>
    <w:rsid w:val="00A7452E"/>
    <w:rsid w:val="00A90206"/>
    <w:rsid w:val="00AB4C9F"/>
    <w:rsid w:val="00AC4963"/>
    <w:rsid w:val="00AD795D"/>
    <w:rsid w:val="00AE45DC"/>
    <w:rsid w:val="00B01E95"/>
    <w:rsid w:val="00B1431F"/>
    <w:rsid w:val="00B25367"/>
    <w:rsid w:val="00B30F1D"/>
    <w:rsid w:val="00B465C1"/>
    <w:rsid w:val="00B47388"/>
    <w:rsid w:val="00B573EA"/>
    <w:rsid w:val="00B77396"/>
    <w:rsid w:val="00B807E6"/>
    <w:rsid w:val="00B91F6E"/>
    <w:rsid w:val="00B9618B"/>
    <w:rsid w:val="00BA037D"/>
    <w:rsid w:val="00BB05AF"/>
    <w:rsid w:val="00BC3384"/>
    <w:rsid w:val="00BE283E"/>
    <w:rsid w:val="00C03522"/>
    <w:rsid w:val="00C81422"/>
    <w:rsid w:val="00C81737"/>
    <w:rsid w:val="00CA34A0"/>
    <w:rsid w:val="00CA7E8C"/>
    <w:rsid w:val="00CB22B0"/>
    <w:rsid w:val="00CB7203"/>
    <w:rsid w:val="00CC2F66"/>
    <w:rsid w:val="00CE02B2"/>
    <w:rsid w:val="00CE0728"/>
    <w:rsid w:val="00CE1FFC"/>
    <w:rsid w:val="00CE2698"/>
    <w:rsid w:val="00CF74D4"/>
    <w:rsid w:val="00D1205C"/>
    <w:rsid w:val="00D32885"/>
    <w:rsid w:val="00D40D7F"/>
    <w:rsid w:val="00D5075D"/>
    <w:rsid w:val="00D72AA6"/>
    <w:rsid w:val="00D73AB3"/>
    <w:rsid w:val="00D91BD3"/>
    <w:rsid w:val="00DB299F"/>
    <w:rsid w:val="00DC1477"/>
    <w:rsid w:val="00DC5F32"/>
    <w:rsid w:val="00DD53BA"/>
    <w:rsid w:val="00DD7194"/>
    <w:rsid w:val="00DE76A0"/>
    <w:rsid w:val="00DF49CF"/>
    <w:rsid w:val="00E10B9D"/>
    <w:rsid w:val="00E27578"/>
    <w:rsid w:val="00E27FC8"/>
    <w:rsid w:val="00E67EDD"/>
    <w:rsid w:val="00E814AB"/>
    <w:rsid w:val="00EA1D8F"/>
    <w:rsid w:val="00EA542D"/>
    <w:rsid w:val="00EA7033"/>
    <w:rsid w:val="00EC252E"/>
    <w:rsid w:val="00ED438F"/>
    <w:rsid w:val="00F0530E"/>
    <w:rsid w:val="00F30F38"/>
    <w:rsid w:val="00F32377"/>
    <w:rsid w:val="00F32CBD"/>
    <w:rsid w:val="00F63590"/>
    <w:rsid w:val="00FE05C7"/>
    <w:rsid w:val="00FE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D318927B-3381-4934-B081-739B6476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A04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qFormat/>
    <w:rsid w:val="007A04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">
    <w:name w:val="Стиль2"/>
    <w:basedOn w:val="a"/>
    <w:rsid w:val="00E10B9D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11">
    <w:name w:val="Стиль1"/>
    <w:basedOn w:val="a"/>
    <w:rsid w:val="00E10B9D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E10B9D"/>
    <w:pPr>
      <w:ind w:firstLine="720"/>
      <w:jc w:val="both"/>
    </w:pPr>
    <w:rPr>
      <w:sz w:val="26"/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customStyle="1" w:styleId="a5">
    <w:name w:val="Стиль"/>
    <w:basedOn w:val="a"/>
    <w:next w:val="a6"/>
    <w:rsid w:val="00E10B9D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rsid w:val="00E10B9D"/>
    <w:pPr>
      <w:autoSpaceDE w:val="0"/>
      <w:autoSpaceDN w:val="0"/>
      <w:spacing w:after="120"/>
    </w:pPr>
    <w:rPr>
      <w:rFonts w:ascii="NTTimes/Cyrillic" w:hAnsi="NTTimes/Cyrillic"/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styleId="a9">
    <w:name w:val="header"/>
    <w:basedOn w:val="a"/>
    <w:link w:val="aa"/>
    <w:uiPriority w:val="99"/>
    <w:rsid w:val="00E10B9D"/>
    <w:pPr>
      <w:tabs>
        <w:tab w:val="center" w:pos="4677"/>
        <w:tab w:val="right" w:pos="9355"/>
      </w:tabs>
    </w:pPr>
    <w:rPr>
      <w:kern w:val="22"/>
      <w:sz w:val="26"/>
    </w:r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E10B9D"/>
    <w:rPr>
      <w:rFonts w:cs="Times New Roman"/>
    </w:rPr>
  </w:style>
  <w:style w:type="paragraph" w:styleId="a6">
    <w:name w:val="Normal (Web)"/>
    <w:basedOn w:val="a"/>
    <w:uiPriority w:val="99"/>
    <w:rsid w:val="00E10B9D"/>
  </w:style>
  <w:style w:type="paragraph" w:styleId="ac">
    <w:name w:val="footer"/>
    <w:basedOn w:val="a"/>
    <w:link w:val="ad"/>
    <w:uiPriority w:val="99"/>
    <w:rsid w:val="0023488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  <w:style w:type="paragraph" w:styleId="ae">
    <w:name w:val="caption"/>
    <w:basedOn w:val="a"/>
    <w:next w:val="a"/>
    <w:uiPriority w:val="35"/>
    <w:qFormat/>
    <w:rsid w:val="00DD53BA"/>
    <w:pPr>
      <w:spacing w:before="120" w:after="120"/>
    </w:pPr>
    <w:rPr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semiHidden/>
    <w:rsid w:val="002D08B5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"/>
    <w:next w:val="a"/>
    <w:autoRedefine/>
    <w:uiPriority w:val="39"/>
    <w:semiHidden/>
    <w:rsid w:val="002D08B5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semiHidden/>
    <w:rsid w:val="002D08B5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2D08B5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rsid w:val="002D08B5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rsid w:val="002D08B5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rsid w:val="002D08B5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rsid w:val="002D08B5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rsid w:val="002D08B5"/>
    <w:pPr>
      <w:ind w:left="1920"/>
    </w:pPr>
    <w:rPr>
      <w:sz w:val="18"/>
      <w:szCs w:val="18"/>
    </w:rPr>
  </w:style>
  <w:style w:type="character" w:styleId="af">
    <w:name w:val="Hyperlink"/>
    <w:uiPriority w:val="99"/>
    <w:rsid w:val="002D08B5"/>
    <w:rPr>
      <w:rFonts w:cs="Times New Roman"/>
      <w:color w:val="0000FF"/>
      <w:u w:val="single"/>
    </w:rPr>
  </w:style>
  <w:style w:type="table" w:styleId="af0">
    <w:name w:val="Table Grid"/>
    <w:basedOn w:val="a1"/>
    <w:uiPriority w:val="59"/>
    <w:rsid w:val="007F42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wmf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header" Target="head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5525</Words>
  <Characters>31496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Home</Company>
  <LinksUpToDate>false</LinksUpToDate>
  <CharactersWithSpaces>36948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Juri</dc:creator>
  <cp:keywords/>
  <dc:description/>
  <cp:lastModifiedBy>admin</cp:lastModifiedBy>
  <cp:revision>2</cp:revision>
  <cp:lastPrinted>2003-10-21T22:42:00Z</cp:lastPrinted>
  <dcterms:created xsi:type="dcterms:W3CDTF">2014-03-01T12:24:00Z</dcterms:created>
  <dcterms:modified xsi:type="dcterms:W3CDTF">2014-03-01T12:24:00Z</dcterms:modified>
</cp:coreProperties>
</file>