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F4B" w:rsidRPr="00FF3D6C" w:rsidRDefault="00CB04BA" w:rsidP="00FF3D6C">
      <w:pPr>
        <w:pStyle w:val="aff2"/>
      </w:pPr>
      <w:r w:rsidRPr="00FF3D6C">
        <w:t>Університет банківської справи Національного банку України</w:t>
      </w:r>
    </w:p>
    <w:p w:rsidR="00FF3D6C" w:rsidRPr="00FF3D6C" w:rsidRDefault="00CB04BA" w:rsidP="00FF3D6C">
      <w:pPr>
        <w:pStyle w:val="aff2"/>
      </w:pPr>
      <w:r w:rsidRPr="00FF3D6C">
        <w:t>Інститут магістерської та післядипломної освіти</w:t>
      </w:r>
    </w:p>
    <w:p w:rsidR="00FF3D6C" w:rsidRDefault="00FF3D6C" w:rsidP="00FF3D6C">
      <w:pPr>
        <w:pStyle w:val="aff2"/>
        <w:rPr>
          <w:lang w:val="uk-UA"/>
        </w:rPr>
      </w:pPr>
    </w:p>
    <w:p w:rsidR="00FF3D6C" w:rsidRDefault="00FF3D6C" w:rsidP="00FF3D6C">
      <w:pPr>
        <w:pStyle w:val="aff2"/>
        <w:rPr>
          <w:lang w:val="uk-UA"/>
        </w:rPr>
      </w:pPr>
    </w:p>
    <w:p w:rsidR="00FF3D6C" w:rsidRDefault="00FF3D6C" w:rsidP="00FF3D6C">
      <w:pPr>
        <w:pStyle w:val="aff2"/>
        <w:rPr>
          <w:lang w:val="uk-UA"/>
        </w:rPr>
      </w:pPr>
    </w:p>
    <w:p w:rsidR="00FF3D6C" w:rsidRDefault="00FF3D6C" w:rsidP="00FF3D6C">
      <w:pPr>
        <w:pStyle w:val="aff2"/>
        <w:rPr>
          <w:lang w:val="uk-UA"/>
        </w:rPr>
      </w:pPr>
    </w:p>
    <w:p w:rsidR="00FF3D6C" w:rsidRDefault="00FF3D6C" w:rsidP="00FF3D6C">
      <w:pPr>
        <w:pStyle w:val="aff2"/>
        <w:rPr>
          <w:lang w:val="uk-UA"/>
        </w:rPr>
      </w:pPr>
    </w:p>
    <w:p w:rsidR="00FF3D6C" w:rsidRDefault="00FF3D6C" w:rsidP="00FF3D6C">
      <w:pPr>
        <w:pStyle w:val="aff2"/>
        <w:rPr>
          <w:lang w:val="uk-UA"/>
        </w:rPr>
      </w:pPr>
    </w:p>
    <w:p w:rsidR="00FF3D6C" w:rsidRDefault="00FF3D6C" w:rsidP="00FF3D6C">
      <w:pPr>
        <w:pStyle w:val="aff2"/>
        <w:rPr>
          <w:lang w:val="uk-UA"/>
        </w:rPr>
      </w:pPr>
    </w:p>
    <w:p w:rsidR="00FF3D6C" w:rsidRDefault="00FF3D6C" w:rsidP="00FF3D6C">
      <w:pPr>
        <w:pStyle w:val="aff2"/>
        <w:rPr>
          <w:lang w:val="uk-UA"/>
        </w:rPr>
      </w:pPr>
    </w:p>
    <w:p w:rsidR="00FF3D6C" w:rsidRDefault="00FF3D6C" w:rsidP="00FF3D6C">
      <w:pPr>
        <w:pStyle w:val="aff2"/>
        <w:rPr>
          <w:lang w:val="uk-UA"/>
        </w:rPr>
      </w:pPr>
    </w:p>
    <w:p w:rsidR="001E0F4B" w:rsidRPr="00FF3D6C" w:rsidRDefault="00CB04BA" w:rsidP="00FF3D6C">
      <w:pPr>
        <w:pStyle w:val="aff2"/>
      </w:pPr>
      <w:r w:rsidRPr="00FF3D6C">
        <w:t>РЕФЕРАТ</w:t>
      </w:r>
    </w:p>
    <w:p w:rsidR="00CB04BA" w:rsidRPr="00FF3D6C" w:rsidRDefault="00CB04BA" w:rsidP="00FF3D6C">
      <w:pPr>
        <w:pStyle w:val="aff2"/>
        <w:rPr>
          <w:lang w:val="uk-UA"/>
        </w:rPr>
      </w:pPr>
      <w:r w:rsidRPr="00FF3D6C">
        <w:t xml:space="preserve">з дисципліни </w:t>
      </w:r>
      <w:r w:rsidR="00FF3D6C">
        <w:rPr>
          <w:lang w:val="uk-UA"/>
        </w:rPr>
        <w:t>"</w:t>
      </w:r>
      <w:r w:rsidRPr="00FF3D6C">
        <w:t>Гарантування вкладів фізичних осіб</w:t>
      </w:r>
      <w:r w:rsidR="00FF3D6C">
        <w:rPr>
          <w:lang w:val="uk-UA"/>
        </w:rPr>
        <w:t>"</w:t>
      </w:r>
    </w:p>
    <w:p w:rsidR="00FF3D6C" w:rsidRPr="00FF3D6C" w:rsidRDefault="00CB04BA" w:rsidP="00FF3D6C">
      <w:pPr>
        <w:pStyle w:val="aff2"/>
      </w:pPr>
      <w:r w:rsidRPr="00FF3D6C">
        <w:t>на тему</w:t>
      </w:r>
      <w:r w:rsidR="00FF3D6C" w:rsidRPr="00FF3D6C">
        <w:t>:</w:t>
      </w:r>
    </w:p>
    <w:p w:rsidR="00FF3D6C" w:rsidRPr="00FF3D6C" w:rsidRDefault="00FF3D6C" w:rsidP="00FF3D6C">
      <w:pPr>
        <w:pStyle w:val="aff2"/>
      </w:pPr>
      <w:r w:rsidRPr="00FF3D6C">
        <w:t>"</w:t>
      </w:r>
      <w:r w:rsidR="001E0F4B" w:rsidRPr="00FF3D6C">
        <w:t>Наглядові функції Фонду гарантування вкладів фізичних осіб в Україні</w:t>
      </w:r>
      <w:r w:rsidRPr="00FF3D6C">
        <w:t>"</w:t>
      </w:r>
    </w:p>
    <w:p w:rsidR="00FF3D6C" w:rsidRDefault="00FF3D6C" w:rsidP="00FF3D6C">
      <w:pPr>
        <w:pStyle w:val="aff2"/>
        <w:rPr>
          <w:lang w:val="uk-UA"/>
        </w:rPr>
      </w:pPr>
    </w:p>
    <w:p w:rsidR="00FF3D6C" w:rsidRDefault="00FF3D6C" w:rsidP="00FF3D6C">
      <w:pPr>
        <w:pStyle w:val="aff2"/>
        <w:rPr>
          <w:lang w:val="uk-UA"/>
        </w:rPr>
      </w:pPr>
    </w:p>
    <w:p w:rsidR="00CB04BA" w:rsidRPr="00FF3D6C" w:rsidRDefault="00CB04BA" w:rsidP="00FF3D6C">
      <w:pPr>
        <w:pStyle w:val="aff2"/>
        <w:jc w:val="left"/>
      </w:pPr>
      <w:r w:rsidRPr="00FF3D6C">
        <w:t>Студентки</w:t>
      </w:r>
    </w:p>
    <w:p w:rsidR="00CB04BA" w:rsidRPr="00FF3D6C" w:rsidRDefault="00CB04BA" w:rsidP="00FF3D6C">
      <w:pPr>
        <w:pStyle w:val="aff2"/>
        <w:jc w:val="left"/>
      </w:pPr>
      <w:r w:rsidRPr="00FF3D6C">
        <w:t>заочної форми навчання</w:t>
      </w:r>
    </w:p>
    <w:p w:rsidR="00CB04BA" w:rsidRPr="00FF3D6C" w:rsidRDefault="00CB04BA" w:rsidP="00FF3D6C">
      <w:pPr>
        <w:pStyle w:val="aff2"/>
        <w:jc w:val="left"/>
      </w:pPr>
      <w:r w:rsidRPr="00FF3D6C">
        <w:t>групи 506БСмз</w:t>
      </w:r>
    </w:p>
    <w:p w:rsidR="00FF3D6C" w:rsidRPr="00FF3D6C" w:rsidRDefault="00FF3D6C" w:rsidP="00FF3D6C">
      <w:pPr>
        <w:pStyle w:val="aff2"/>
        <w:jc w:val="left"/>
      </w:pPr>
      <w:r w:rsidRPr="00FF3D6C">
        <w:t>Таланчук Ма</w:t>
      </w:r>
      <w:r w:rsidR="00CB04BA" w:rsidRPr="00FF3D6C">
        <w:t>ї Сергіївни</w:t>
      </w:r>
    </w:p>
    <w:p w:rsidR="00FF3D6C" w:rsidRDefault="00FF3D6C" w:rsidP="00FF3D6C">
      <w:pPr>
        <w:pStyle w:val="aff2"/>
        <w:rPr>
          <w:lang w:val="uk-UA"/>
        </w:rPr>
      </w:pPr>
    </w:p>
    <w:p w:rsidR="00FF3D6C" w:rsidRDefault="00FF3D6C" w:rsidP="00FF3D6C">
      <w:pPr>
        <w:pStyle w:val="aff2"/>
        <w:rPr>
          <w:lang w:val="uk-UA"/>
        </w:rPr>
      </w:pPr>
    </w:p>
    <w:p w:rsidR="00FF3D6C" w:rsidRDefault="00FF3D6C" w:rsidP="00FF3D6C">
      <w:pPr>
        <w:pStyle w:val="aff2"/>
        <w:rPr>
          <w:lang w:val="uk-UA"/>
        </w:rPr>
      </w:pPr>
    </w:p>
    <w:p w:rsidR="00FF3D6C" w:rsidRDefault="00FF3D6C" w:rsidP="00FF3D6C">
      <w:pPr>
        <w:pStyle w:val="aff2"/>
        <w:rPr>
          <w:lang w:val="uk-UA"/>
        </w:rPr>
      </w:pPr>
    </w:p>
    <w:p w:rsidR="00FF3D6C" w:rsidRDefault="00FF3D6C" w:rsidP="00FF3D6C">
      <w:pPr>
        <w:pStyle w:val="aff2"/>
        <w:rPr>
          <w:lang w:val="uk-UA"/>
        </w:rPr>
      </w:pPr>
    </w:p>
    <w:p w:rsidR="00FF3D6C" w:rsidRPr="00FF3D6C" w:rsidRDefault="00FF3D6C" w:rsidP="00FF3D6C">
      <w:pPr>
        <w:pStyle w:val="aff2"/>
        <w:rPr>
          <w:lang w:val="uk-UA"/>
        </w:rPr>
      </w:pPr>
    </w:p>
    <w:p w:rsidR="00FF3D6C" w:rsidRDefault="00543408" w:rsidP="00FF3D6C">
      <w:pPr>
        <w:pStyle w:val="aff2"/>
      </w:pPr>
      <w:r w:rsidRPr="00FF3D6C">
        <w:t>Київ 2010</w:t>
      </w:r>
    </w:p>
    <w:p w:rsidR="00CB04BA" w:rsidRDefault="001E0F4B" w:rsidP="00FF3D6C">
      <w:pPr>
        <w:pStyle w:val="afb"/>
        <w:rPr>
          <w:lang w:val="uk-UA"/>
        </w:rPr>
      </w:pPr>
      <w:r w:rsidRPr="00FF3D6C">
        <w:rPr>
          <w:lang w:val="uk-UA"/>
        </w:rPr>
        <w:br w:type="page"/>
      </w:r>
      <w:r w:rsidR="00CB04BA" w:rsidRPr="00FF3D6C">
        <w:rPr>
          <w:lang w:val="uk-UA"/>
        </w:rPr>
        <w:t>План</w:t>
      </w:r>
    </w:p>
    <w:p w:rsidR="00FF3D6C" w:rsidRDefault="00FF3D6C" w:rsidP="00FF3D6C">
      <w:pPr>
        <w:ind w:firstLine="709"/>
        <w:rPr>
          <w:lang w:val="uk-UA"/>
        </w:rPr>
      </w:pPr>
    </w:p>
    <w:p w:rsidR="00FF3D6C" w:rsidRDefault="00FF3D6C">
      <w:pPr>
        <w:pStyle w:val="21"/>
        <w:rPr>
          <w:smallCaps w:val="0"/>
          <w:noProof/>
          <w:sz w:val="24"/>
          <w:szCs w:val="24"/>
        </w:rPr>
      </w:pPr>
      <w:r w:rsidRPr="00106055">
        <w:rPr>
          <w:rStyle w:val="ab"/>
          <w:noProof/>
        </w:rPr>
        <w:t>Загальні положення Фонду гарантування вкладів фізичних осіб</w:t>
      </w:r>
    </w:p>
    <w:p w:rsidR="00FF3D6C" w:rsidRDefault="00FF3D6C">
      <w:pPr>
        <w:pStyle w:val="21"/>
        <w:rPr>
          <w:smallCaps w:val="0"/>
          <w:noProof/>
          <w:sz w:val="24"/>
          <w:szCs w:val="24"/>
        </w:rPr>
      </w:pPr>
      <w:r w:rsidRPr="00106055">
        <w:rPr>
          <w:rStyle w:val="ab"/>
          <w:noProof/>
        </w:rPr>
        <w:t>Завдання та наглядові функції фонду гарантування вкладів фізичних осіб</w:t>
      </w:r>
    </w:p>
    <w:p w:rsidR="00FF3D6C" w:rsidRDefault="00FF3D6C">
      <w:pPr>
        <w:pStyle w:val="21"/>
        <w:rPr>
          <w:smallCaps w:val="0"/>
          <w:noProof/>
          <w:sz w:val="24"/>
          <w:szCs w:val="24"/>
        </w:rPr>
      </w:pPr>
      <w:r w:rsidRPr="00106055">
        <w:rPr>
          <w:rStyle w:val="ab"/>
          <w:noProof/>
        </w:rPr>
        <w:t>Доцільність надання нових повноважень нагляду Фонду гарантування вкладів фізичних осіб</w:t>
      </w:r>
    </w:p>
    <w:p w:rsidR="00FF3D6C" w:rsidRPr="00FF3D6C" w:rsidRDefault="00FF3D6C" w:rsidP="00FF3D6C">
      <w:pPr>
        <w:ind w:firstLine="709"/>
        <w:rPr>
          <w:lang w:val="uk-UA"/>
        </w:rPr>
      </w:pPr>
    </w:p>
    <w:p w:rsidR="00FF3D6C" w:rsidRPr="00FF3D6C" w:rsidRDefault="00CB04BA" w:rsidP="00FF3D6C">
      <w:pPr>
        <w:pStyle w:val="2"/>
      </w:pPr>
      <w:r w:rsidRPr="00FF3D6C">
        <w:br w:type="page"/>
      </w:r>
      <w:bookmarkStart w:id="0" w:name="_Toc277368515"/>
      <w:r w:rsidRPr="00FF3D6C">
        <w:t>Загальні положення Фонду гарантування вкладів фізичних осіб</w:t>
      </w:r>
      <w:bookmarkEnd w:id="0"/>
    </w:p>
    <w:p w:rsidR="00FF3D6C" w:rsidRDefault="00FF3D6C" w:rsidP="00FF3D6C">
      <w:pPr>
        <w:ind w:firstLine="709"/>
        <w:rPr>
          <w:rStyle w:val="29"/>
          <w:color w:val="000000"/>
          <w:lang w:val="uk-UA"/>
        </w:rPr>
      </w:pPr>
    </w:p>
    <w:p w:rsidR="00FF3D6C" w:rsidRPr="00FF3D6C" w:rsidRDefault="004B3768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 xml:space="preserve">У 1998 році Президентом України був підписаний Указ “Про заходи щодо захисту прав фізичних осіб </w:t>
      </w:r>
      <w:r w:rsidR="00FF3D6C" w:rsidRPr="00FF3D6C">
        <w:rPr>
          <w:rStyle w:val="29"/>
          <w:color w:val="000000"/>
          <w:lang w:val="uk-UA"/>
        </w:rPr>
        <w:t>-</w:t>
      </w:r>
      <w:r w:rsidRPr="00FF3D6C">
        <w:rPr>
          <w:rStyle w:val="29"/>
          <w:color w:val="000000"/>
          <w:lang w:val="uk-UA"/>
        </w:rPr>
        <w:t xml:space="preserve"> вкладників комерційних банків”, яким було затверджене Положення про порядок створення Фонду гарантування вкладів фізичних осіб, формування та використання його коштів</w:t>
      </w:r>
      <w:r w:rsidR="00FF3D6C" w:rsidRPr="00FF3D6C">
        <w:rPr>
          <w:rStyle w:val="29"/>
          <w:color w:val="000000"/>
          <w:lang w:val="uk-UA"/>
        </w:rPr>
        <w:t>.</w:t>
      </w:r>
    </w:p>
    <w:p w:rsidR="00FF3D6C" w:rsidRPr="00FF3D6C" w:rsidRDefault="004B3768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>20 вересня 2001 року Верховна Рада України прийняла Закон України</w:t>
      </w:r>
      <w:r w:rsidR="00FF3D6C" w:rsidRPr="00FF3D6C">
        <w:rPr>
          <w:rStyle w:val="29"/>
          <w:color w:val="000000"/>
          <w:lang w:val="uk-UA"/>
        </w:rPr>
        <w:t xml:space="preserve"> "</w:t>
      </w:r>
      <w:r w:rsidRPr="00FF3D6C">
        <w:rPr>
          <w:rStyle w:val="29"/>
          <w:color w:val="000000"/>
          <w:lang w:val="uk-UA"/>
        </w:rPr>
        <w:t>Про Фонд гарантування вкладiв фiзичних осiб</w:t>
      </w:r>
      <w:r w:rsidR="00FF3D6C" w:rsidRPr="00FF3D6C">
        <w:rPr>
          <w:rStyle w:val="29"/>
          <w:color w:val="000000"/>
          <w:lang w:val="uk-UA"/>
        </w:rPr>
        <w:t xml:space="preserve">", </w:t>
      </w:r>
      <w:r w:rsidRPr="00FF3D6C">
        <w:rPr>
          <w:rStyle w:val="29"/>
          <w:color w:val="000000"/>
          <w:lang w:val="uk-UA"/>
        </w:rPr>
        <w:t>який набув чинностi 24 жовтня 2001 року</w:t>
      </w:r>
      <w:r w:rsidR="00FF3D6C" w:rsidRPr="00FF3D6C">
        <w:rPr>
          <w:rStyle w:val="29"/>
          <w:color w:val="000000"/>
          <w:lang w:val="uk-UA"/>
        </w:rPr>
        <w:t>.</w:t>
      </w:r>
    </w:p>
    <w:p w:rsidR="00FF3D6C" w:rsidRPr="00FF3D6C" w:rsidRDefault="004B3768" w:rsidP="00FF3D6C">
      <w:pPr>
        <w:ind w:firstLine="709"/>
        <w:rPr>
          <w:rStyle w:val="aa"/>
          <w:b w:val="0"/>
          <w:bCs w:val="0"/>
          <w:color w:val="000000"/>
          <w:lang w:val="uk-UA"/>
        </w:rPr>
      </w:pPr>
      <w:r w:rsidRPr="00FF3D6C">
        <w:rPr>
          <w:rStyle w:val="aa"/>
          <w:b w:val="0"/>
          <w:bCs w:val="0"/>
          <w:color w:val="000000"/>
          <w:lang w:val="uk-UA"/>
        </w:rPr>
        <w:t>Фонд є державною, спеціалізованою установою, яка виконує функції державного управління у сфері гарантування вкладів фізичних осіб</w:t>
      </w:r>
      <w:r w:rsidR="00FF3D6C" w:rsidRPr="00FF3D6C">
        <w:rPr>
          <w:rStyle w:val="aa"/>
          <w:b w:val="0"/>
          <w:bCs w:val="0"/>
          <w:color w:val="000000"/>
          <w:lang w:val="uk-UA"/>
        </w:rPr>
        <w:t>.</w:t>
      </w:r>
    </w:p>
    <w:p w:rsidR="00FF3D6C" w:rsidRPr="00FF3D6C" w:rsidRDefault="004B3768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 xml:space="preserve">Основною ціллю діяльності Фонду в Україні є захист прав та інтересів фізичних осіб </w:t>
      </w:r>
      <w:r w:rsidR="00FF3D6C" w:rsidRPr="00FF3D6C">
        <w:rPr>
          <w:rStyle w:val="29"/>
          <w:color w:val="000000"/>
          <w:lang w:val="uk-UA"/>
        </w:rPr>
        <w:t>-</w:t>
      </w:r>
      <w:r w:rsidRPr="00FF3D6C">
        <w:rPr>
          <w:rStyle w:val="29"/>
          <w:color w:val="000000"/>
          <w:lang w:val="uk-UA"/>
        </w:rPr>
        <w:t xml:space="preserve"> вкладників банків, філій іноземних банків</w:t>
      </w:r>
      <w:r w:rsidR="00FF3D6C" w:rsidRPr="00FF3D6C">
        <w:rPr>
          <w:rStyle w:val="29"/>
          <w:color w:val="000000"/>
          <w:lang w:val="uk-UA"/>
        </w:rPr>
        <w:t>.</w:t>
      </w:r>
    </w:p>
    <w:p w:rsidR="00FF3D6C" w:rsidRPr="00FF3D6C" w:rsidRDefault="004B3768" w:rsidP="00FF3D6C">
      <w:pPr>
        <w:ind w:firstLine="709"/>
        <w:rPr>
          <w:lang w:val="uk-UA"/>
        </w:rPr>
      </w:pPr>
      <w:r w:rsidRPr="00FF3D6C">
        <w:rPr>
          <w:lang w:val="uk-UA"/>
        </w:rPr>
        <w:t>Керiвним органом Фонду є адмiнiстративна рада, яка формується шляхом делегування до її складу двох представникiв Кабiнету Мiнiстрiв Українi, двох представникiв Нацiонального банку Українi та одного представника асоцiацiї банкiв</w:t>
      </w:r>
      <w:r w:rsidR="00FF3D6C" w:rsidRPr="00FF3D6C">
        <w:rPr>
          <w:lang w:val="uk-UA"/>
        </w:rPr>
        <w:t>.</w:t>
      </w:r>
    </w:p>
    <w:p w:rsidR="00FF3D6C" w:rsidRPr="00FF3D6C" w:rsidRDefault="004B3768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>Фонд гарантує вклади громадян, які розміщені у учасниках</w:t>
      </w:r>
      <w:r w:rsidR="00FF3D6C" w:rsidRPr="00FF3D6C">
        <w:rPr>
          <w:rStyle w:val="29"/>
          <w:color w:val="000000"/>
          <w:lang w:val="uk-UA"/>
        </w:rPr>
        <w:t xml:space="preserve"> (</w:t>
      </w:r>
      <w:r w:rsidRPr="00FF3D6C">
        <w:rPr>
          <w:rStyle w:val="29"/>
          <w:color w:val="000000"/>
          <w:lang w:val="uk-UA"/>
        </w:rPr>
        <w:t>тимчасових учасниках</w:t>
      </w:r>
      <w:r w:rsidR="00FF3D6C" w:rsidRPr="00FF3D6C">
        <w:rPr>
          <w:rStyle w:val="29"/>
          <w:color w:val="000000"/>
          <w:lang w:val="uk-UA"/>
        </w:rPr>
        <w:t xml:space="preserve">) </w:t>
      </w:r>
      <w:r w:rsidRPr="00FF3D6C">
        <w:rPr>
          <w:rStyle w:val="29"/>
          <w:color w:val="000000"/>
          <w:lang w:val="uk-UA"/>
        </w:rPr>
        <w:t>Фонду в національній та іноземній валюті, включаючи відсотки, в розмірі вкладів, але не більше 150 000 грн</w:t>
      </w:r>
      <w:r w:rsidR="00FF3D6C" w:rsidRPr="00FF3D6C">
        <w:rPr>
          <w:rStyle w:val="29"/>
          <w:color w:val="000000"/>
          <w:lang w:val="uk-UA"/>
        </w:rPr>
        <w:t xml:space="preserve">. </w:t>
      </w:r>
      <w:r w:rsidRPr="00FF3D6C">
        <w:rPr>
          <w:rStyle w:val="29"/>
          <w:color w:val="000000"/>
          <w:lang w:val="uk-UA"/>
        </w:rPr>
        <w:t>по вкладах у кожному банку, філії іноземного банку на день настання недоступності вкладів</w:t>
      </w:r>
      <w:r w:rsidR="00FF3D6C" w:rsidRPr="00FF3D6C">
        <w:rPr>
          <w:rStyle w:val="29"/>
          <w:color w:val="000000"/>
          <w:lang w:val="uk-UA"/>
        </w:rPr>
        <w:t xml:space="preserve">. </w:t>
      </w:r>
      <w:r w:rsidRPr="00FF3D6C">
        <w:rPr>
          <w:rStyle w:val="29"/>
          <w:color w:val="000000"/>
          <w:lang w:val="uk-UA"/>
        </w:rPr>
        <w:t>Вклади до 1 гривні не відшкодовуються</w:t>
      </w:r>
      <w:r w:rsidR="00FF3D6C" w:rsidRPr="00FF3D6C">
        <w:rPr>
          <w:rStyle w:val="29"/>
          <w:color w:val="000000"/>
          <w:lang w:val="uk-UA"/>
        </w:rPr>
        <w:t>.</w:t>
      </w:r>
    </w:p>
    <w:p w:rsidR="00FF3D6C" w:rsidRPr="00FF3D6C" w:rsidRDefault="004B3768" w:rsidP="00FF3D6C">
      <w:pPr>
        <w:ind w:firstLine="709"/>
        <w:rPr>
          <w:lang w:val="uk-UA"/>
        </w:rPr>
      </w:pPr>
      <w:r w:rsidRPr="00FF3D6C">
        <w:rPr>
          <w:lang w:val="uk-UA"/>
        </w:rPr>
        <w:t>Вкладники набувають право на одержання гарантованої суми вiдшкодування за вкладами за рахунок коштiв Фонду в грошовiй одиницi України з дня настання недоступностi вкладiв</w:t>
      </w:r>
      <w:r w:rsidR="00FF3D6C" w:rsidRPr="00FF3D6C">
        <w:rPr>
          <w:lang w:val="uk-UA"/>
        </w:rPr>
        <w:t>.</w:t>
      </w:r>
    </w:p>
    <w:p w:rsidR="00FF3D6C" w:rsidRPr="00FF3D6C" w:rsidRDefault="004B3768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>В Українi учасниками Фонду є банки, філії іноземних банків, якi мають банкiвську лiцензiю на право здiйснювати банкiвську дiяльнiсть та свiдоцтво учасника Фонду</w:t>
      </w:r>
      <w:r w:rsidR="00FF3D6C" w:rsidRPr="00FF3D6C">
        <w:rPr>
          <w:rStyle w:val="29"/>
          <w:color w:val="000000"/>
          <w:lang w:val="uk-UA"/>
        </w:rPr>
        <w:t xml:space="preserve">. </w:t>
      </w:r>
      <w:r w:rsidRPr="00FF3D6C">
        <w:rPr>
          <w:rStyle w:val="29"/>
          <w:color w:val="000000"/>
          <w:lang w:val="uk-UA"/>
        </w:rPr>
        <w:t>ВАТ</w:t>
      </w:r>
      <w:r w:rsidR="00FF3D6C" w:rsidRPr="00FF3D6C">
        <w:rPr>
          <w:rStyle w:val="29"/>
          <w:color w:val="000000"/>
          <w:lang w:val="uk-UA"/>
        </w:rPr>
        <w:t xml:space="preserve"> "</w:t>
      </w:r>
      <w:r w:rsidRPr="00FF3D6C">
        <w:rPr>
          <w:rStyle w:val="29"/>
          <w:color w:val="000000"/>
          <w:lang w:val="uk-UA"/>
        </w:rPr>
        <w:t>Державний ощадний банк України</w:t>
      </w:r>
      <w:r w:rsidR="00FF3D6C" w:rsidRPr="00FF3D6C">
        <w:rPr>
          <w:rStyle w:val="29"/>
          <w:color w:val="000000"/>
          <w:lang w:val="uk-UA"/>
        </w:rPr>
        <w:t xml:space="preserve">" </w:t>
      </w:r>
      <w:r w:rsidRPr="00FF3D6C">
        <w:rPr>
          <w:rStyle w:val="29"/>
          <w:color w:val="000000"/>
          <w:lang w:val="uk-UA"/>
        </w:rPr>
        <w:t>не є учасником Фонду</w:t>
      </w:r>
      <w:r w:rsidR="00FF3D6C" w:rsidRPr="00FF3D6C">
        <w:rPr>
          <w:rStyle w:val="29"/>
          <w:color w:val="000000"/>
          <w:lang w:val="uk-UA"/>
        </w:rPr>
        <w:t>.</w:t>
      </w:r>
    </w:p>
    <w:p w:rsidR="00FF3D6C" w:rsidRPr="00FF3D6C" w:rsidRDefault="004B3768" w:rsidP="00FF3D6C">
      <w:pPr>
        <w:ind w:firstLine="709"/>
        <w:rPr>
          <w:rStyle w:val="aa"/>
          <w:b w:val="0"/>
          <w:bCs w:val="0"/>
          <w:color w:val="000000"/>
          <w:lang w:val="uk-UA"/>
        </w:rPr>
      </w:pPr>
      <w:r w:rsidRPr="00FF3D6C">
        <w:rPr>
          <w:rStyle w:val="aa"/>
          <w:b w:val="0"/>
          <w:bCs w:val="0"/>
          <w:color w:val="000000"/>
          <w:lang w:val="uk-UA"/>
        </w:rPr>
        <w:t>Учасники мають СВIДОЦТВО учасника Фонду</w:t>
      </w:r>
    </w:p>
    <w:p w:rsidR="00FF3D6C" w:rsidRPr="00FF3D6C" w:rsidRDefault="004B3768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>У разі порушення учасником Фонду вимог Закону України “Про Фонд гарантування вкладів фізичних осіб” банк, філія іноземного банку переводиться до категорії тимчасового учасника Фонду, що пiдтверджується довiдкою тимчасового учасника</w:t>
      </w:r>
      <w:r w:rsidR="00FF3D6C" w:rsidRPr="00FF3D6C">
        <w:rPr>
          <w:rStyle w:val="29"/>
          <w:color w:val="000000"/>
          <w:lang w:val="uk-UA"/>
        </w:rPr>
        <w:t>.</w:t>
      </w:r>
    </w:p>
    <w:p w:rsidR="00FF3D6C" w:rsidRPr="00FF3D6C" w:rsidRDefault="004B3768" w:rsidP="00FF3D6C">
      <w:pPr>
        <w:ind w:firstLine="709"/>
        <w:rPr>
          <w:rStyle w:val="29"/>
          <w:b/>
          <w:bCs/>
          <w:color w:val="000000"/>
          <w:lang w:val="uk-UA"/>
        </w:rPr>
      </w:pPr>
      <w:r w:rsidRPr="00FF3D6C">
        <w:rPr>
          <w:rStyle w:val="aa"/>
          <w:b w:val="0"/>
          <w:bCs w:val="0"/>
          <w:color w:val="000000"/>
          <w:lang w:val="uk-UA"/>
        </w:rPr>
        <w:t>Банки</w:t>
      </w:r>
      <w:r w:rsidR="00FF3D6C" w:rsidRPr="00FF3D6C">
        <w:rPr>
          <w:rStyle w:val="aa"/>
          <w:b w:val="0"/>
          <w:bCs w:val="0"/>
          <w:color w:val="000000"/>
          <w:lang w:val="uk-UA"/>
        </w:rPr>
        <w:t xml:space="preserve"> - </w:t>
      </w:r>
      <w:r w:rsidRPr="00FF3D6C">
        <w:rPr>
          <w:rStyle w:val="aa"/>
          <w:b w:val="0"/>
          <w:bCs w:val="0"/>
          <w:color w:val="000000"/>
          <w:lang w:val="uk-UA"/>
        </w:rPr>
        <w:t>тимчасовi учасники мають ДОВIДКУ тимчасового учасника Фонду</w:t>
      </w:r>
    </w:p>
    <w:p w:rsidR="00FF3D6C" w:rsidRPr="00FF3D6C" w:rsidRDefault="004B3768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>Фонд не відшкодовує гарантовану суму за вкладами фізичних осіб у банку, філії іноземного банку переведеному до категорії тимчасового учасника Фонду, якщо ці вклади були залучені ним з дати отримання повідомлення про переведення його до категорії тимчасового учасника Фонду</w:t>
      </w:r>
      <w:r w:rsidR="00FF3D6C" w:rsidRPr="00FF3D6C">
        <w:rPr>
          <w:rStyle w:val="29"/>
          <w:color w:val="000000"/>
          <w:lang w:val="uk-UA"/>
        </w:rPr>
        <w:t xml:space="preserve">. </w:t>
      </w:r>
      <w:r w:rsidRPr="00FF3D6C">
        <w:rPr>
          <w:rStyle w:val="29"/>
          <w:color w:val="000000"/>
          <w:lang w:val="uk-UA"/>
        </w:rPr>
        <w:t>Після переведення до категорії тимчасового учасника банк, філія іноземного банку зобов’язаний попереджати у письмовій формі фізичних осіб при укладенні з ними нових угод на залучення вкладів, про те що Фонд не гарантує відшкодування за цими вкладами</w:t>
      </w:r>
      <w:r w:rsidR="00FF3D6C" w:rsidRPr="00FF3D6C">
        <w:rPr>
          <w:rStyle w:val="29"/>
          <w:color w:val="000000"/>
          <w:lang w:val="uk-UA"/>
        </w:rPr>
        <w:t xml:space="preserve">. </w:t>
      </w:r>
      <w:r w:rsidRPr="00FF3D6C">
        <w:rPr>
          <w:rStyle w:val="29"/>
          <w:color w:val="000000"/>
          <w:lang w:val="uk-UA"/>
        </w:rPr>
        <w:t>Двічі на рік Фонд публікує в офіційних засобах масової інформації реєстр учасників</w:t>
      </w:r>
      <w:r w:rsidR="00FF3D6C" w:rsidRPr="00FF3D6C">
        <w:rPr>
          <w:rStyle w:val="29"/>
          <w:color w:val="000000"/>
          <w:lang w:val="uk-UA"/>
        </w:rPr>
        <w:t xml:space="preserve"> (</w:t>
      </w:r>
      <w:r w:rsidRPr="00FF3D6C">
        <w:rPr>
          <w:rStyle w:val="29"/>
          <w:color w:val="000000"/>
          <w:lang w:val="uk-UA"/>
        </w:rPr>
        <w:t>тимчасових учасників</w:t>
      </w:r>
      <w:r w:rsidR="00FF3D6C" w:rsidRPr="00FF3D6C">
        <w:rPr>
          <w:rStyle w:val="29"/>
          <w:color w:val="000000"/>
          <w:lang w:val="uk-UA"/>
        </w:rPr>
        <w:t xml:space="preserve">) </w:t>
      </w:r>
      <w:r w:rsidRPr="00FF3D6C">
        <w:rPr>
          <w:rStyle w:val="29"/>
          <w:color w:val="000000"/>
          <w:lang w:val="uk-UA"/>
        </w:rPr>
        <w:t>Фонду</w:t>
      </w:r>
      <w:r w:rsidR="00FF3D6C" w:rsidRPr="00FF3D6C">
        <w:rPr>
          <w:rStyle w:val="29"/>
          <w:color w:val="000000"/>
          <w:lang w:val="uk-UA"/>
        </w:rPr>
        <w:t xml:space="preserve">. </w:t>
      </w:r>
      <w:r w:rsidRPr="00FF3D6C">
        <w:rPr>
          <w:rStyle w:val="29"/>
          <w:color w:val="000000"/>
          <w:lang w:val="uk-UA"/>
        </w:rPr>
        <w:t>Iнформацiя про змiни в реєстрi публiкується додатково протягом 14 календарних днiв пiсля внесення змiн</w:t>
      </w:r>
      <w:r w:rsidR="00FF3D6C" w:rsidRPr="00FF3D6C">
        <w:rPr>
          <w:rStyle w:val="29"/>
          <w:color w:val="000000"/>
          <w:lang w:val="uk-UA"/>
        </w:rPr>
        <w:t>.</w:t>
      </w:r>
    </w:p>
    <w:p w:rsidR="00CB04BA" w:rsidRPr="00FF3D6C" w:rsidRDefault="00CB04BA" w:rsidP="00FF3D6C">
      <w:pPr>
        <w:ind w:firstLine="709"/>
        <w:rPr>
          <w:lang w:val="uk-UA" w:eastAsia="uk-UA"/>
        </w:rPr>
      </w:pPr>
    </w:p>
    <w:p w:rsidR="00FF3D6C" w:rsidRPr="00FF3D6C" w:rsidRDefault="00C4283B" w:rsidP="00FF3D6C">
      <w:pPr>
        <w:pStyle w:val="2"/>
      </w:pPr>
      <w:bookmarkStart w:id="1" w:name="_Toc277368516"/>
      <w:r w:rsidRPr="00FF3D6C">
        <w:t>Завдання та наглядові ф</w:t>
      </w:r>
      <w:r w:rsidR="00CB04BA" w:rsidRPr="00FF3D6C">
        <w:t xml:space="preserve">ункції фонду гарантування </w:t>
      </w:r>
      <w:r w:rsidR="00FF3D6C">
        <w:t xml:space="preserve">вкладів </w:t>
      </w:r>
      <w:r w:rsidR="00CB04BA" w:rsidRPr="00FF3D6C">
        <w:t>фізичних осіб</w:t>
      </w:r>
      <w:bookmarkEnd w:id="1"/>
    </w:p>
    <w:p w:rsidR="00FF3D6C" w:rsidRDefault="00FF3D6C" w:rsidP="00FF3D6C">
      <w:pPr>
        <w:ind w:firstLine="709"/>
        <w:rPr>
          <w:lang w:val="uk-UA"/>
        </w:rPr>
      </w:pP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Фонд є юридичною особою, має відокремлене майно, яке є об'єктом права державної власності і перебуває у його повному господарському віданні</w:t>
      </w:r>
      <w:r w:rsidR="00FF3D6C" w:rsidRPr="00FF3D6C">
        <w:rPr>
          <w:lang w:val="uk-UA"/>
        </w:rPr>
        <w:t>.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Фонд є економічно самостійною установою, яка не має на меті одержання прибутку, має самостійний баланс, поточний та інші рахунки в Національному банку України</w:t>
      </w:r>
      <w:r w:rsidR="00FF3D6C" w:rsidRPr="00FF3D6C">
        <w:rPr>
          <w:lang w:val="uk-UA"/>
        </w:rPr>
        <w:t>.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У своїй діяльності Фонд керується Конституцією України, чинним законодавством та діє на підставі Положення про Фонд гарантування вкладів фізичних осіб, яке затверджується Кабінетом Міністрів України та Національним банком України</w:t>
      </w:r>
      <w:r w:rsidR="00FF3D6C" w:rsidRPr="00FF3D6C">
        <w:rPr>
          <w:lang w:val="uk-UA"/>
        </w:rPr>
        <w:t>.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Основними завданнями Фонду є</w:t>
      </w:r>
      <w:r w:rsidR="00FF3D6C" w:rsidRPr="00FF3D6C">
        <w:rPr>
          <w:lang w:val="uk-UA"/>
        </w:rPr>
        <w:t>: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забезпечення захисту прав фізичних осіб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вкладників банків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учасників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тимчасових учасників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Фонду шляхом відшкодування за рахунок його коштів вкладів, включаючи відсотки, у разі настання недоступності вкладів</w:t>
      </w:r>
      <w:r w:rsidR="00FF3D6C" w:rsidRPr="00FF3D6C">
        <w:rPr>
          <w:lang w:val="uk-UA"/>
        </w:rPr>
        <w:t>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здійснення організаційно-управлінських заходів з метою забезпечення виплати вкладникам сум відшкодування втрат</w:t>
      </w:r>
      <w:r w:rsidR="00FF3D6C" w:rsidRPr="00FF3D6C">
        <w:rPr>
          <w:lang w:val="uk-UA"/>
        </w:rPr>
        <w:t>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забезпечення надходження та акумуляції сум зборів з банків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учасників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тимчасових учасників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Фонду та інших коштів, призначених для здійснення відшкодування втрат</w:t>
      </w:r>
      <w:r w:rsidR="00FF3D6C" w:rsidRPr="00FF3D6C">
        <w:rPr>
          <w:lang w:val="uk-UA"/>
        </w:rPr>
        <w:t>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забезпечення цільового використання коштів, що знаходяться на рахунках Фонду</w:t>
      </w:r>
      <w:r w:rsidR="00FF3D6C" w:rsidRPr="00FF3D6C">
        <w:rPr>
          <w:lang w:val="uk-UA"/>
        </w:rPr>
        <w:t>.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Фонд відповідно до покладених на нього завдань</w:t>
      </w:r>
      <w:r w:rsidR="00FF3D6C" w:rsidRPr="00FF3D6C">
        <w:rPr>
          <w:lang w:val="uk-UA"/>
        </w:rPr>
        <w:t>: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1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відшкодовує кожному вкладнику банку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учасника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тимчасового учасника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Фонду втрати у розмірі, визначеному відповідно до Закону України</w:t>
      </w:r>
      <w:r w:rsidR="00FF3D6C" w:rsidRPr="00FF3D6C">
        <w:rPr>
          <w:lang w:val="uk-UA"/>
        </w:rPr>
        <w:t xml:space="preserve"> "</w:t>
      </w:r>
      <w:r w:rsidRPr="00FF3D6C">
        <w:rPr>
          <w:lang w:val="uk-UA"/>
        </w:rPr>
        <w:t>Про Фонд гарантування вкладів фізичних осіб</w:t>
      </w:r>
      <w:r w:rsidR="00FF3D6C" w:rsidRPr="00FF3D6C">
        <w:rPr>
          <w:lang w:val="uk-UA"/>
        </w:rPr>
        <w:t>";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2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проводить перевірку</w:t>
      </w:r>
      <w:r w:rsidR="00FF3D6C" w:rsidRPr="00FF3D6C">
        <w:rPr>
          <w:lang w:val="uk-UA"/>
        </w:rPr>
        <w:t>: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правильності розрахунків та контролює своєчасність і повноту перерахування зборів банками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учасниками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тимчасовими учасниками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Фонду</w:t>
      </w:r>
      <w:r w:rsidR="00FF3D6C" w:rsidRPr="00FF3D6C">
        <w:rPr>
          <w:lang w:val="uk-UA"/>
        </w:rPr>
        <w:t>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діяльності банків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учасників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тимчасових учасників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Фонду, в тому числі із залученням з цією метою незалежних експертів за рахунок його коштів</w:t>
      </w:r>
      <w:r w:rsidR="00FF3D6C" w:rsidRPr="00FF3D6C">
        <w:rPr>
          <w:lang w:val="uk-UA"/>
        </w:rPr>
        <w:t>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3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бере участь у перевірках, які проводяться Національним банком, з питань, що належать до компетенції Фонду</w:t>
      </w:r>
      <w:r w:rsidR="00FF3D6C" w:rsidRPr="00FF3D6C">
        <w:rPr>
          <w:lang w:val="uk-UA"/>
        </w:rPr>
        <w:t>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4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порушує перед Національним банком питання про застосування до банків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учасників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тимчасових учасників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Фонду заходів впливу у разі порушення ними норм Закону України</w:t>
      </w:r>
      <w:r w:rsidR="00FF3D6C" w:rsidRPr="00FF3D6C">
        <w:rPr>
          <w:lang w:val="uk-UA"/>
        </w:rPr>
        <w:t xml:space="preserve"> "</w:t>
      </w:r>
      <w:r w:rsidRPr="00FF3D6C">
        <w:rPr>
          <w:lang w:val="uk-UA"/>
        </w:rPr>
        <w:t>Про Фонд гарантування вкладів фізичних осіб</w:t>
      </w:r>
      <w:r w:rsidR="00FF3D6C" w:rsidRPr="00FF3D6C">
        <w:rPr>
          <w:lang w:val="uk-UA"/>
        </w:rPr>
        <w:t>";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5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застосовує безпосередньо до банків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учасників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тимчасових учасників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Фонду заходи впливу, передбачені Законом України</w:t>
      </w:r>
      <w:r w:rsidR="00FF3D6C" w:rsidRPr="00FF3D6C">
        <w:rPr>
          <w:lang w:val="uk-UA"/>
        </w:rPr>
        <w:t xml:space="preserve"> "</w:t>
      </w:r>
      <w:r w:rsidRPr="00FF3D6C">
        <w:rPr>
          <w:lang w:val="uk-UA"/>
        </w:rPr>
        <w:t>Про Фонд гарантування вкладів фізичних осіб</w:t>
      </w:r>
      <w:r w:rsidR="00FF3D6C" w:rsidRPr="00FF3D6C">
        <w:rPr>
          <w:lang w:val="uk-UA"/>
        </w:rPr>
        <w:t>";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6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забезпечує використання власних коштів за їх цільовим призначенням</w:t>
      </w:r>
      <w:r w:rsidR="00FF3D6C" w:rsidRPr="00FF3D6C">
        <w:rPr>
          <w:lang w:val="uk-UA"/>
        </w:rPr>
        <w:t>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7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одержує від Національного банку інформацію, необхідну для виконання Фондом функцій, що передбачені Законом України</w:t>
      </w:r>
      <w:r w:rsidR="00FF3D6C" w:rsidRPr="00FF3D6C">
        <w:rPr>
          <w:lang w:val="uk-UA"/>
        </w:rPr>
        <w:t xml:space="preserve"> "</w:t>
      </w:r>
      <w:r w:rsidRPr="00FF3D6C">
        <w:rPr>
          <w:lang w:val="uk-UA"/>
        </w:rPr>
        <w:t>Про Фонд гарантування вкладів фізичних осіб</w:t>
      </w:r>
      <w:r w:rsidR="00FF3D6C" w:rsidRPr="00FF3D6C">
        <w:rPr>
          <w:lang w:val="uk-UA"/>
        </w:rPr>
        <w:t xml:space="preserve">" </w:t>
      </w:r>
      <w:r w:rsidRPr="00FF3D6C">
        <w:rPr>
          <w:lang w:val="uk-UA"/>
        </w:rPr>
        <w:t>та цим Положенням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далі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функції Фонду</w:t>
      </w:r>
      <w:r w:rsidR="00FF3D6C" w:rsidRPr="00FF3D6C">
        <w:rPr>
          <w:lang w:val="uk-UA"/>
        </w:rPr>
        <w:t>);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8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визначає обов'язкові форми звітності для банків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учасників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тимчасових учасників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Фонду</w:t>
      </w:r>
      <w:r w:rsidR="00FF3D6C" w:rsidRPr="00FF3D6C">
        <w:rPr>
          <w:lang w:val="uk-UA"/>
        </w:rPr>
        <w:t>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9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публікує в офіційних засобах масової інформації</w:t>
      </w:r>
      <w:r w:rsidR="00FF3D6C" w:rsidRPr="00FF3D6C">
        <w:rPr>
          <w:lang w:val="uk-UA"/>
        </w:rPr>
        <w:t>: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двічі на рік станом на 1 січня і 1 липня звіт про свою діяльність, реєстр банків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учасників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тимчасових учасників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Фонду протягом одного місяця після зазначених термінів</w:t>
      </w:r>
      <w:r w:rsidR="00FF3D6C" w:rsidRPr="00FF3D6C">
        <w:rPr>
          <w:lang w:val="uk-UA"/>
        </w:rPr>
        <w:t>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10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подає річний звіт разом з аудиторським висновком Кабінетові Міністрів України і Національному банку до 1 липня року, що настає за звітним</w:t>
      </w:r>
      <w:r w:rsidR="00FF3D6C" w:rsidRPr="00FF3D6C">
        <w:rPr>
          <w:lang w:val="uk-UA"/>
        </w:rPr>
        <w:t>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11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встановлює для банків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учасників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тимчасових учасників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Фонду у визначеному ним порядку обов'язкові стандарти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вимоги щодо їх членства у Фонді</w:t>
      </w:r>
      <w:r w:rsidR="00FF3D6C" w:rsidRPr="00FF3D6C">
        <w:rPr>
          <w:lang w:val="uk-UA"/>
        </w:rPr>
        <w:t>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12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залучає в порядку, передбаченому Законом України</w:t>
      </w:r>
      <w:r w:rsidR="00FF3D6C" w:rsidRPr="00FF3D6C">
        <w:rPr>
          <w:lang w:val="uk-UA"/>
        </w:rPr>
        <w:t xml:space="preserve"> "</w:t>
      </w:r>
      <w:r w:rsidRPr="00FF3D6C">
        <w:rPr>
          <w:lang w:val="uk-UA"/>
        </w:rPr>
        <w:t>Про Фонд гарантування вкладів фізичних осіб</w:t>
      </w:r>
      <w:r w:rsidR="00FF3D6C" w:rsidRPr="00FF3D6C">
        <w:rPr>
          <w:lang w:val="uk-UA"/>
        </w:rPr>
        <w:t xml:space="preserve">", </w:t>
      </w:r>
      <w:r w:rsidRPr="00FF3D6C">
        <w:rPr>
          <w:lang w:val="uk-UA"/>
        </w:rPr>
        <w:t>кредити від Кабінету Міністрів України у грошовій формі або державними цінними паперами, Національного банку, інших банків та іноземних кредиторів у грошовій формі</w:t>
      </w:r>
      <w:r w:rsidR="00FF3D6C" w:rsidRPr="00FF3D6C">
        <w:rPr>
          <w:lang w:val="uk-UA"/>
        </w:rPr>
        <w:t>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13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набуває право кредитора стосовно банку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учасника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тимчасового учасника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Фонду на всю суму, що підлягає відшкодуванню, з дня настання недоступності вкладів</w:t>
      </w:r>
      <w:r w:rsidR="00FF3D6C" w:rsidRPr="00FF3D6C">
        <w:rPr>
          <w:lang w:val="uk-UA"/>
        </w:rPr>
        <w:t>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14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одержує від ліквідатора банку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учасника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тимчасового учасника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Фонду інформацію та передбачені законодавством документи, необхідні для виконання Фондом функцій із забезпечення відшкодування втрат</w:t>
      </w:r>
      <w:r w:rsidR="00FF3D6C" w:rsidRPr="00FF3D6C">
        <w:rPr>
          <w:lang w:val="uk-UA"/>
        </w:rPr>
        <w:t>;</w:t>
      </w:r>
    </w:p>
    <w:p w:rsidR="00FF3D6C" w:rsidRPr="00FF3D6C" w:rsidRDefault="00C4283B" w:rsidP="00FF3D6C">
      <w:pPr>
        <w:ind w:firstLine="709"/>
        <w:rPr>
          <w:lang w:val="uk-UA"/>
        </w:rPr>
      </w:pPr>
      <w:r w:rsidRPr="00FF3D6C">
        <w:rPr>
          <w:lang w:val="uk-UA"/>
        </w:rPr>
        <w:t>15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забезпечує виконання вимог законодавства про збереження банківської таємниці щодо інформації, одержаної від Національного банку, банку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учасника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тимчасового учасника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Фонду та ліквідатора банку</w:t>
      </w:r>
      <w:r w:rsidR="00FF3D6C" w:rsidRPr="00FF3D6C">
        <w:rPr>
          <w:lang w:val="uk-UA"/>
        </w:rPr>
        <w:t xml:space="preserve"> - </w:t>
      </w:r>
      <w:r w:rsidRPr="00FF3D6C">
        <w:rPr>
          <w:lang w:val="uk-UA"/>
        </w:rPr>
        <w:t>учасника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тимчасового учасника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Фонду</w:t>
      </w:r>
      <w:r w:rsidR="00FF3D6C" w:rsidRPr="00FF3D6C">
        <w:rPr>
          <w:lang w:val="uk-UA"/>
        </w:rPr>
        <w:t>.</w:t>
      </w:r>
    </w:p>
    <w:p w:rsidR="00FF3D6C" w:rsidRPr="00FF3D6C" w:rsidRDefault="00CB037D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>Для виконання своїх повноважень Фонд здійснює перевірки банків, в тому числі і шляхом залучення незалежних експертів за рахунок власних коштів</w:t>
      </w:r>
      <w:r w:rsidR="00FF3D6C" w:rsidRPr="00FF3D6C">
        <w:rPr>
          <w:rStyle w:val="29"/>
          <w:color w:val="000000"/>
          <w:lang w:val="uk-UA"/>
        </w:rPr>
        <w:t xml:space="preserve">. </w:t>
      </w:r>
      <w:r w:rsidRPr="00FF3D6C">
        <w:rPr>
          <w:rStyle w:val="29"/>
          <w:color w:val="000000"/>
          <w:lang w:val="uk-UA"/>
        </w:rPr>
        <w:t>Фонд має також право брати участь у перевірках, які здійснюються НБУ, з питань, що належать до його компетенції</w:t>
      </w:r>
      <w:r w:rsidR="00FF3D6C" w:rsidRPr="00FF3D6C">
        <w:rPr>
          <w:rStyle w:val="29"/>
          <w:color w:val="000000"/>
          <w:lang w:val="uk-UA"/>
        </w:rPr>
        <w:t xml:space="preserve">. </w:t>
      </w:r>
      <w:r w:rsidRPr="00FF3D6C">
        <w:rPr>
          <w:rStyle w:val="29"/>
          <w:color w:val="000000"/>
          <w:lang w:val="uk-UA"/>
        </w:rPr>
        <w:t>Окрім цього, він уповноважений застосовувати наступні заходи впливу</w:t>
      </w:r>
      <w:r w:rsidR="00FF3D6C" w:rsidRPr="00FF3D6C">
        <w:rPr>
          <w:rStyle w:val="29"/>
          <w:color w:val="000000"/>
          <w:lang w:val="uk-UA"/>
        </w:rPr>
        <w:t>:</w:t>
      </w:r>
    </w:p>
    <w:p w:rsidR="00FF3D6C" w:rsidRPr="00FF3D6C" w:rsidRDefault="00CB037D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>1</w:t>
      </w:r>
      <w:r w:rsidR="00FF3D6C" w:rsidRPr="00FF3D6C">
        <w:rPr>
          <w:rStyle w:val="29"/>
          <w:color w:val="000000"/>
          <w:lang w:val="uk-UA"/>
        </w:rPr>
        <w:t xml:space="preserve">) </w:t>
      </w:r>
      <w:r w:rsidRPr="00FF3D6C">
        <w:rPr>
          <w:rStyle w:val="29"/>
          <w:color w:val="000000"/>
          <w:lang w:val="uk-UA"/>
        </w:rPr>
        <w:t>Переведення банків до категорії тимчасових учасників Фонду, внаслідок чого Фонд не відшкодовує гарантовану суму за вкладами фізичних осіб, які залучаються цим банком після оголошення останнього тимчасових учасником</w:t>
      </w:r>
      <w:r w:rsidR="00FF3D6C" w:rsidRPr="00FF3D6C">
        <w:rPr>
          <w:rStyle w:val="29"/>
          <w:color w:val="000000"/>
          <w:lang w:val="uk-UA"/>
        </w:rPr>
        <w:t xml:space="preserve">. </w:t>
      </w:r>
      <w:r w:rsidRPr="00FF3D6C">
        <w:rPr>
          <w:rStyle w:val="29"/>
          <w:color w:val="000000"/>
          <w:lang w:val="uk-UA"/>
        </w:rPr>
        <w:t>Тому за такими вкладами регулярний збір до Фонду не сплачується</w:t>
      </w:r>
      <w:r w:rsidR="00FF3D6C" w:rsidRPr="00FF3D6C">
        <w:rPr>
          <w:rStyle w:val="29"/>
          <w:color w:val="000000"/>
          <w:lang w:val="uk-UA"/>
        </w:rPr>
        <w:t xml:space="preserve">. </w:t>
      </w:r>
      <w:r w:rsidRPr="00FF3D6C">
        <w:rPr>
          <w:rStyle w:val="29"/>
          <w:color w:val="000000"/>
          <w:lang w:val="uk-UA"/>
        </w:rPr>
        <w:t>Згідно п</w:t>
      </w:r>
      <w:r w:rsidR="00FF3D6C" w:rsidRPr="00FF3D6C">
        <w:rPr>
          <w:rStyle w:val="29"/>
          <w:color w:val="000000"/>
          <w:lang w:val="uk-UA"/>
        </w:rPr>
        <w:t xml:space="preserve">.3.1.1 </w:t>
      </w:r>
      <w:r w:rsidRPr="00FF3D6C">
        <w:rPr>
          <w:rStyle w:val="29"/>
          <w:color w:val="000000"/>
          <w:lang w:val="uk-UA"/>
        </w:rPr>
        <w:t>Положення</w:t>
      </w:r>
      <w:r w:rsidR="00FF3D6C" w:rsidRPr="00FF3D6C">
        <w:rPr>
          <w:rStyle w:val="29"/>
          <w:color w:val="000000"/>
          <w:lang w:val="uk-UA"/>
        </w:rPr>
        <w:t xml:space="preserve"> "</w:t>
      </w:r>
      <w:r w:rsidRPr="00FF3D6C">
        <w:rPr>
          <w:rStyle w:val="29"/>
          <w:color w:val="000000"/>
          <w:lang w:val="uk-UA"/>
        </w:rPr>
        <w:t>Про застосування заходів впливу до банків</w:t>
      </w:r>
      <w:r w:rsidR="00FF3D6C" w:rsidRPr="00FF3D6C">
        <w:rPr>
          <w:rStyle w:val="29"/>
          <w:color w:val="000000"/>
          <w:lang w:val="uk-UA"/>
        </w:rPr>
        <w:t xml:space="preserve"> - </w:t>
      </w:r>
      <w:r w:rsidRPr="00FF3D6C">
        <w:rPr>
          <w:rStyle w:val="29"/>
          <w:color w:val="000000"/>
          <w:lang w:val="uk-UA"/>
        </w:rPr>
        <w:t>учасників</w:t>
      </w:r>
      <w:r w:rsidR="00FF3D6C" w:rsidRPr="00FF3D6C">
        <w:rPr>
          <w:rStyle w:val="29"/>
          <w:color w:val="000000"/>
          <w:lang w:val="uk-UA"/>
        </w:rPr>
        <w:t xml:space="preserve"> (</w:t>
      </w:r>
      <w:r w:rsidRPr="00FF3D6C">
        <w:rPr>
          <w:rStyle w:val="29"/>
          <w:color w:val="000000"/>
          <w:lang w:val="uk-UA"/>
        </w:rPr>
        <w:t>тимчасових учасників</w:t>
      </w:r>
      <w:r w:rsidR="00FF3D6C" w:rsidRPr="00FF3D6C">
        <w:rPr>
          <w:rStyle w:val="29"/>
          <w:color w:val="000000"/>
          <w:lang w:val="uk-UA"/>
        </w:rPr>
        <w:t xml:space="preserve">) </w:t>
      </w:r>
      <w:r w:rsidRPr="00FF3D6C">
        <w:rPr>
          <w:rStyle w:val="29"/>
          <w:color w:val="000000"/>
          <w:lang w:val="uk-UA"/>
        </w:rPr>
        <w:t>Фонду гарантування вкладів фізичних осіб</w:t>
      </w:r>
      <w:r w:rsidR="00FF3D6C" w:rsidRPr="00FF3D6C">
        <w:rPr>
          <w:rStyle w:val="29"/>
          <w:color w:val="000000"/>
          <w:lang w:val="uk-UA"/>
        </w:rPr>
        <w:t>"  [</w:t>
      </w:r>
      <w:r w:rsidRPr="00FF3D6C">
        <w:rPr>
          <w:rStyle w:val="29"/>
          <w:color w:val="000000"/>
          <w:lang w:val="uk-UA"/>
        </w:rPr>
        <w:t>13</w:t>
      </w:r>
      <w:r w:rsidR="00FF3D6C" w:rsidRPr="00FF3D6C">
        <w:rPr>
          <w:rStyle w:val="29"/>
          <w:color w:val="000000"/>
          <w:lang w:val="uk-UA"/>
        </w:rPr>
        <w:t xml:space="preserve">] </w:t>
      </w:r>
      <w:r w:rsidRPr="00FF3D6C">
        <w:rPr>
          <w:rStyle w:val="29"/>
          <w:color w:val="000000"/>
          <w:lang w:val="uk-UA"/>
        </w:rPr>
        <w:t>, підставами для цього заходу можуть бути</w:t>
      </w:r>
      <w:r w:rsidR="00FF3D6C" w:rsidRPr="00FF3D6C">
        <w:rPr>
          <w:rStyle w:val="29"/>
          <w:color w:val="000000"/>
          <w:lang w:val="uk-UA"/>
        </w:rPr>
        <w:t>:</w:t>
      </w:r>
    </w:p>
    <w:p w:rsidR="00FF3D6C" w:rsidRPr="00FF3D6C" w:rsidRDefault="00CB037D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>а</w:t>
      </w:r>
      <w:r w:rsidR="00FF3D6C" w:rsidRPr="00FF3D6C">
        <w:rPr>
          <w:rStyle w:val="29"/>
          <w:color w:val="000000"/>
          <w:lang w:val="uk-UA"/>
        </w:rPr>
        <w:t xml:space="preserve">) </w:t>
      </w:r>
      <w:r w:rsidRPr="00FF3D6C">
        <w:rPr>
          <w:rStyle w:val="29"/>
          <w:color w:val="000000"/>
          <w:lang w:val="uk-UA"/>
        </w:rPr>
        <w:t>невиконання банком економічних нормативів Н1, Н2 та / або Н3 згідно даних НБУ, крім випадків повідомлення НБУ про прийняте рішення щодо капіталізації банку</w:t>
      </w:r>
      <w:r w:rsidR="00FF3D6C" w:rsidRPr="00FF3D6C">
        <w:rPr>
          <w:rStyle w:val="29"/>
          <w:color w:val="000000"/>
          <w:lang w:val="uk-UA"/>
        </w:rPr>
        <w:t>;</w:t>
      </w:r>
    </w:p>
    <w:p w:rsidR="00FF3D6C" w:rsidRPr="00FF3D6C" w:rsidRDefault="00CB037D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>б</w:t>
      </w:r>
      <w:r w:rsidR="00FF3D6C" w:rsidRPr="00FF3D6C">
        <w:rPr>
          <w:rStyle w:val="29"/>
          <w:color w:val="000000"/>
          <w:lang w:val="uk-UA"/>
        </w:rPr>
        <w:t xml:space="preserve">) </w:t>
      </w:r>
      <w:r w:rsidRPr="00FF3D6C">
        <w:rPr>
          <w:rStyle w:val="29"/>
          <w:color w:val="000000"/>
          <w:lang w:val="uk-UA"/>
        </w:rPr>
        <w:t>встановлення будь-яких обмежень на проведення банком банківських операцій з боку НБУ щодо залучення або відкриття і ведення поточних рахунків фізичних осіб</w:t>
      </w:r>
      <w:r w:rsidR="00FF3D6C" w:rsidRPr="00FF3D6C">
        <w:rPr>
          <w:rStyle w:val="29"/>
          <w:color w:val="000000"/>
          <w:lang w:val="uk-UA"/>
        </w:rPr>
        <w:t>;</w:t>
      </w:r>
    </w:p>
    <w:p w:rsidR="00FF3D6C" w:rsidRPr="00FF3D6C" w:rsidRDefault="00CB037D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>в</w:t>
      </w:r>
      <w:r w:rsidR="00FF3D6C" w:rsidRPr="00FF3D6C">
        <w:rPr>
          <w:rStyle w:val="29"/>
          <w:color w:val="000000"/>
          <w:lang w:val="uk-UA"/>
        </w:rPr>
        <w:t xml:space="preserve">) </w:t>
      </w:r>
      <w:r w:rsidRPr="00FF3D6C">
        <w:rPr>
          <w:rStyle w:val="29"/>
          <w:color w:val="000000"/>
          <w:lang w:val="uk-UA"/>
        </w:rPr>
        <w:t>призначення НБУ тимчасової адміністрації банку</w:t>
      </w:r>
      <w:r w:rsidR="00FF3D6C" w:rsidRPr="00FF3D6C">
        <w:rPr>
          <w:rStyle w:val="29"/>
          <w:color w:val="000000"/>
          <w:lang w:val="uk-UA"/>
        </w:rPr>
        <w:t>;</w:t>
      </w:r>
    </w:p>
    <w:p w:rsidR="00FF3D6C" w:rsidRPr="00FF3D6C" w:rsidRDefault="00CB037D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>г</w:t>
      </w:r>
      <w:r w:rsidR="00FF3D6C" w:rsidRPr="00FF3D6C">
        <w:rPr>
          <w:rStyle w:val="29"/>
          <w:color w:val="000000"/>
          <w:lang w:val="uk-UA"/>
        </w:rPr>
        <w:t xml:space="preserve">) </w:t>
      </w:r>
      <w:r w:rsidRPr="00FF3D6C">
        <w:rPr>
          <w:rStyle w:val="29"/>
          <w:color w:val="000000"/>
          <w:lang w:val="uk-UA"/>
        </w:rPr>
        <w:t>порушення банком законодавчих вимог</w:t>
      </w:r>
      <w:r w:rsidR="00FF3D6C" w:rsidRPr="00FF3D6C">
        <w:rPr>
          <w:rStyle w:val="29"/>
          <w:color w:val="000000"/>
          <w:lang w:val="uk-UA"/>
        </w:rPr>
        <w:t>.</w:t>
      </w:r>
    </w:p>
    <w:p w:rsidR="00FF3D6C" w:rsidRPr="00FF3D6C" w:rsidRDefault="00CB037D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>В разі переведення банку до категорії тимчасових учасників, Фондом здійснюється інспекційна позапланова перевірка даного банку</w:t>
      </w:r>
      <w:r w:rsidR="00FF3D6C" w:rsidRPr="00FF3D6C">
        <w:rPr>
          <w:rStyle w:val="29"/>
          <w:color w:val="000000"/>
          <w:lang w:val="uk-UA"/>
        </w:rPr>
        <w:t>.</w:t>
      </w:r>
    </w:p>
    <w:p w:rsidR="00FF3D6C" w:rsidRPr="00FF3D6C" w:rsidRDefault="00CB037D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>2</w:t>
      </w:r>
      <w:r w:rsidR="00FF3D6C" w:rsidRPr="00FF3D6C">
        <w:rPr>
          <w:rStyle w:val="29"/>
          <w:color w:val="000000"/>
          <w:lang w:val="uk-UA"/>
        </w:rPr>
        <w:t xml:space="preserve">) </w:t>
      </w:r>
      <w:r w:rsidRPr="00FF3D6C">
        <w:rPr>
          <w:rStyle w:val="29"/>
          <w:color w:val="000000"/>
          <w:lang w:val="uk-UA"/>
        </w:rPr>
        <w:t>Виключення банків із числа учасників</w:t>
      </w:r>
      <w:r w:rsidR="00FF3D6C" w:rsidRPr="00FF3D6C">
        <w:rPr>
          <w:rStyle w:val="29"/>
          <w:color w:val="000000"/>
          <w:lang w:val="uk-UA"/>
        </w:rPr>
        <w:t xml:space="preserve"> (</w:t>
      </w:r>
      <w:r w:rsidRPr="00FF3D6C">
        <w:rPr>
          <w:rStyle w:val="29"/>
          <w:color w:val="000000"/>
          <w:lang w:val="uk-UA"/>
        </w:rPr>
        <w:t>тимчасових учасників</w:t>
      </w:r>
      <w:r w:rsidR="00FF3D6C" w:rsidRPr="00FF3D6C">
        <w:rPr>
          <w:rStyle w:val="29"/>
          <w:color w:val="000000"/>
          <w:lang w:val="uk-UA"/>
        </w:rPr>
        <w:t>),</w:t>
      </w:r>
      <w:r w:rsidRPr="00FF3D6C">
        <w:rPr>
          <w:rStyle w:val="29"/>
          <w:color w:val="000000"/>
          <w:lang w:val="uk-UA"/>
        </w:rPr>
        <w:t xml:space="preserve"> яке здійснюється Фондом в разі відкликання ліцензії НБУ на здійснення банківської діяльності або в разі припинення здійснення банком операції щодо залучення вкладів фізичних осіб</w:t>
      </w:r>
      <w:r w:rsidR="00FF3D6C" w:rsidRPr="00FF3D6C">
        <w:rPr>
          <w:rStyle w:val="29"/>
          <w:color w:val="000000"/>
          <w:lang w:val="uk-UA"/>
        </w:rPr>
        <w:t xml:space="preserve">. </w:t>
      </w:r>
      <w:r w:rsidRPr="00FF3D6C">
        <w:rPr>
          <w:rStyle w:val="29"/>
          <w:color w:val="000000"/>
          <w:lang w:val="uk-UA"/>
        </w:rPr>
        <w:t>Такий захід не позбавляє вкладників, вклади яких були залучені до дня отримання банком повідомлення про переведення його до категорії тимчасових учасників, права на відшкодування таких вкладів у разі настання їх недоступності відповідно до цього Закону</w:t>
      </w:r>
      <w:r w:rsidR="00FF3D6C" w:rsidRPr="00FF3D6C">
        <w:rPr>
          <w:rStyle w:val="29"/>
          <w:color w:val="000000"/>
          <w:lang w:val="uk-UA"/>
        </w:rPr>
        <w:t>.</w:t>
      </w:r>
    </w:p>
    <w:p w:rsidR="00FF3D6C" w:rsidRPr="00FF3D6C" w:rsidRDefault="00CB037D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>3</w:t>
      </w:r>
      <w:r w:rsidR="00FF3D6C" w:rsidRPr="00FF3D6C">
        <w:rPr>
          <w:rStyle w:val="29"/>
          <w:color w:val="000000"/>
          <w:lang w:val="uk-UA"/>
        </w:rPr>
        <w:t xml:space="preserve">) </w:t>
      </w:r>
      <w:r w:rsidRPr="00FF3D6C">
        <w:rPr>
          <w:rStyle w:val="29"/>
          <w:color w:val="000000"/>
          <w:lang w:val="uk-UA"/>
        </w:rPr>
        <w:t>Фонд зобов’язаний порушити перед НБУ питання про застосування до банку заходів впливу у разі виявлення ним порушення</w:t>
      </w:r>
      <w:r w:rsidR="00FF3D6C" w:rsidRPr="00FF3D6C">
        <w:rPr>
          <w:rStyle w:val="29"/>
          <w:color w:val="000000"/>
          <w:lang w:val="uk-UA"/>
        </w:rPr>
        <w:t>.</w:t>
      </w:r>
    </w:p>
    <w:p w:rsidR="00FF3D6C" w:rsidRPr="00FF3D6C" w:rsidRDefault="00CB037D" w:rsidP="00FF3D6C">
      <w:pPr>
        <w:ind w:firstLine="709"/>
        <w:rPr>
          <w:rStyle w:val="29"/>
          <w:color w:val="000000"/>
          <w:lang w:val="uk-UA"/>
        </w:rPr>
      </w:pPr>
      <w:r w:rsidRPr="00FF3D6C">
        <w:rPr>
          <w:rStyle w:val="29"/>
          <w:color w:val="000000"/>
          <w:lang w:val="uk-UA"/>
        </w:rPr>
        <w:t>4</w:t>
      </w:r>
      <w:r w:rsidR="00FF3D6C" w:rsidRPr="00FF3D6C">
        <w:rPr>
          <w:rStyle w:val="29"/>
          <w:color w:val="000000"/>
          <w:lang w:val="uk-UA"/>
        </w:rPr>
        <w:t xml:space="preserve">) </w:t>
      </w:r>
      <w:r w:rsidRPr="00FF3D6C">
        <w:rPr>
          <w:rStyle w:val="29"/>
          <w:color w:val="000000"/>
          <w:lang w:val="uk-UA"/>
        </w:rPr>
        <w:t>У разі виявлення порушень, зазначених у пп</w:t>
      </w:r>
      <w:r w:rsidR="00FF3D6C" w:rsidRPr="00FF3D6C">
        <w:rPr>
          <w:rStyle w:val="29"/>
          <w:color w:val="000000"/>
          <w:lang w:val="uk-UA"/>
        </w:rPr>
        <w:t>. "</w:t>
      </w:r>
      <w:r w:rsidRPr="00FF3D6C">
        <w:rPr>
          <w:rStyle w:val="29"/>
          <w:color w:val="000000"/>
          <w:lang w:val="uk-UA"/>
        </w:rPr>
        <w:t>а-в</w:t>
      </w:r>
      <w:r w:rsidR="00FF3D6C" w:rsidRPr="00FF3D6C">
        <w:rPr>
          <w:rStyle w:val="29"/>
          <w:color w:val="000000"/>
          <w:lang w:val="uk-UA"/>
        </w:rPr>
        <w:t xml:space="preserve">" </w:t>
      </w:r>
      <w:r w:rsidRPr="00FF3D6C">
        <w:rPr>
          <w:rStyle w:val="29"/>
          <w:color w:val="000000"/>
          <w:lang w:val="uk-UA"/>
        </w:rPr>
        <w:t>пункту 1 Фонд може направити до банку лист-попередження</w:t>
      </w:r>
      <w:r w:rsidR="00FF3D6C" w:rsidRPr="00FF3D6C">
        <w:rPr>
          <w:rStyle w:val="29"/>
          <w:color w:val="000000"/>
          <w:lang w:val="uk-UA"/>
        </w:rPr>
        <w:t xml:space="preserve">. </w:t>
      </w:r>
      <w:r w:rsidRPr="00FF3D6C">
        <w:rPr>
          <w:rStyle w:val="29"/>
          <w:color w:val="000000"/>
          <w:lang w:val="uk-UA"/>
        </w:rPr>
        <w:t>У листі-попередженні Фонд визначає строк, протягом якого банк повинен усунути зазначені порушення, а також попереджає банк про застосування заходів впливу у разі неусунення банком протягом визначеного строку хоча б одного із порушень, вказаних у листі</w:t>
      </w:r>
      <w:r w:rsidR="00FF3D6C" w:rsidRPr="00FF3D6C">
        <w:rPr>
          <w:rStyle w:val="29"/>
          <w:color w:val="000000"/>
          <w:lang w:val="uk-UA"/>
        </w:rPr>
        <w:t xml:space="preserve">. </w:t>
      </w:r>
      <w:r w:rsidRPr="00FF3D6C">
        <w:rPr>
          <w:rStyle w:val="29"/>
          <w:color w:val="000000"/>
          <w:lang w:val="uk-UA"/>
        </w:rPr>
        <w:t>Банк протягом 5 робочих днів з дня отримання від Фонду листа-попередження, зобов’язаний подати до Фонду план заходів, що будуть ужиті банком, із зазначенням строку усунення порушення</w:t>
      </w:r>
      <w:r w:rsidR="00FF3D6C" w:rsidRPr="00FF3D6C">
        <w:rPr>
          <w:rStyle w:val="29"/>
          <w:color w:val="000000"/>
          <w:lang w:val="uk-UA"/>
        </w:rPr>
        <w:t xml:space="preserve">. </w:t>
      </w:r>
      <w:r w:rsidRPr="00FF3D6C">
        <w:rPr>
          <w:rStyle w:val="29"/>
          <w:color w:val="000000"/>
          <w:lang w:val="uk-UA"/>
        </w:rPr>
        <w:t>Строк виконання зобов’язання банку не повинен перевищувати 90 календарних днів або строк, визначений у листі-попередженні</w:t>
      </w:r>
      <w:r w:rsidR="00FF3D6C" w:rsidRPr="00FF3D6C">
        <w:rPr>
          <w:rStyle w:val="29"/>
          <w:color w:val="000000"/>
          <w:lang w:val="uk-UA"/>
        </w:rPr>
        <w:t>.</w:t>
      </w:r>
    </w:p>
    <w:p w:rsidR="00FF3D6C" w:rsidRPr="00FF3D6C" w:rsidRDefault="002E1164" w:rsidP="00FF3D6C">
      <w:pPr>
        <w:ind w:firstLine="709"/>
        <w:rPr>
          <w:lang w:val="uk-UA"/>
        </w:rPr>
      </w:pPr>
      <w:r w:rsidRPr="00FF3D6C">
        <w:rPr>
          <w:lang w:val="uk-UA"/>
        </w:rPr>
        <w:t>Контрольні функції Фонду</w:t>
      </w:r>
      <w:r w:rsidR="00FF3D6C">
        <w:rPr>
          <w:lang w:val="uk-UA"/>
        </w:rPr>
        <w:t>:</w:t>
      </w:r>
    </w:p>
    <w:p w:rsidR="00FF3D6C" w:rsidRPr="00FF3D6C" w:rsidRDefault="002E1164" w:rsidP="00FF3D6C">
      <w:pPr>
        <w:ind w:firstLine="709"/>
        <w:rPr>
          <w:lang w:val="uk-UA"/>
        </w:rPr>
      </w:pPr>
      <w:r w:rsidRPr="00FF3D6C">
        <w:rPr>
          <w:lang w:val="uk-UA"/>
        </w:rPr>
        <w:t>Фонд здійснює перевірки розрахунків та контролює повноту і своєчасність перерахування зборів кожним учасником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тимчасовим учасником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Фонду</w:t>
      </w:r>
      <w:r w:rsidR="00FF3D6C" w:rsidRPr="00FF3D6C">
        <w:rPr>
          <w:lang w:val="uk-UA"/>
        </w:rPr>
        <w:t>.</w:t>
      </w:r>
    </w:p>
    <w:p w:rsidR="00FF3D6C" w:rsidRPr="00FF3D6C" w:rsidRDefault="002E1164" w:rsidP="00FF3D6C">
      <w:pPr>
        <w:ind w:firstLine="709"/>
        <w:rPr>
          <w:lang w:val="uk-UA"/>
        </w:rPr>
      </w:pPr>
      <w:r w:rsidRPr="00FF3D6C">
        <w:rPr>
          <w:lang w:val="uk-UA"/>
        </w:rPr>
        <w:t>За несвоєчасне або неповне перерахування початкового, регулярного або спеціального зборів учасники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тимчасові учасники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протягом місяця сплачують пеню в розмірі подвійної облікової ставки Національного банку України від розміру не перерахованої суми за кожний день прострочення</w:t>
      </w:r>
      <w:r w:rsidR="00FF3D6C" w:rsidRPr="00FF3D6C">
        <w:rPr>
          <w:lang w:val="uk-UA"/>
        </w:rPr>
        <w:t>.</w:t>
      </w:r>
    </w:p>
    <w:p w:rsidR="00FF3D6C" w:rsidRPr="00FF3D6C" w:rsidRDefault="002E1164" w:rsidP="00FF3D6C">
      <w:pPr>
        <w:ind w:firstLine="709"/>
        <w:rPr>
          <w:lang w:val="uk-UA"/>
        </w:rPr>
      </w:pPr>
      <w:r w:rsidRPr="00FF3D6C">
        <w:rPr>
          <w:lang w:val="uk-UA"/>
        </w:rPr>
        <w:t>Для виконання своїх повноважень відповідно до цього Закону Фонд здійснює перевірки учасників</w:t>
      </w:r>
      <w:r w:rsidR="00FF3D6C" w:rsidRPr="00FF3D6C">
        <w:rPr>
          <w:lang w:val="uk-UA"/>
        </w:rPr>
        <w:t xml:space="preserve"> (</w:t>
      </w:r>
      <w:r w:rsidRPr="00FF3D6C">
        <w:rPr>
          <w:lang w:val="uk-UA"/>
        </w:rPr>
        <w:t>тимчасових учасників</w:t>
      </w:r>
      <w:r w:rsidR="00FF3D6C" w:rsidRPr="00FF3D6C">
        <w:rPr>
          <w:lang w:val="uk-UA"/>
        </w:rPr>
        <w:t xml:space="preserve">) </w:t>
      </w:r>
      <w:r w:rsidRPr="00FF3D6C">
        <w:rPr>
          <w:lang w:val="uk-UA"/>
        </w:rPr>
        <w:t>Фонду, в тому числі і шляхом залучення незалежних експертів за рахунок коштів Фонду</w:t>
      </w:r>
      <w:r w:rsidR="00FF3D6C" w:rsidRPr="00FF3D6C">
        <w:rPr>
          <w:lang w:val="uk-UA"/>
        </w:rPr>
        <w:t xml:space="preserve">. </w:t>
      </w:r>
      <w:r w:rsidRPr="00FF3D6C">
        <w:rPr>
          <w:lang w:val="uk-UA"/>
        </w:rPr>
        <w:t>Фонд має право брати участь у перевірках, які здійснюються Національним банком України, з питань, що належать до компетенції Фонду відповідно до цього Закону</w:t>
      </w:r>
      <w:r w:rsidR="00FF3D6C" w:rsidRPr="00FF3D6C">
        <w:rPr>
          <w:lang w:val="uk-UA"/>
        </w:rPr>
        <w:t>.</w:t>
      </w:r>
    </w:p>
    <w:p w:rsidR="00CB04BA" w:rsidRPr="00FF3D6C" w:rsidRDefault="00CB04BA" w:rsidP="00FF3D6C">
      <w:pPr>
        <w:ind w:firstLine="709"/>
        <w:rPr>
          <w:lang w:val="uk-UA"/>
        </w:rPr>
      </w:pPr>
    </w:p>
    <w:p w:rsidR="00FF3D6C" w:rsidRPr="00FF3D6C" w:rsidRDefault="00264A77" w:rsidP="00FF3D6C">
      <w:pPr>
        <w:pStyle w:val="2"/>
        <w:rPr>
          <w:lang w:eastAsia="uk-UA"/>
        </w:rPr>
      </w:pPr>
      <w:bookmarkStart w:id="2" w:name="_Toc277368517"/>
      <w:r w:rsidRPr="00FF3D6C">
        <w:t>Доцільність надання нових повноважень нагляду</w:t>
      </w:r>
      <w:r w:rsidR="00CB04BA" w:rsidRPr="00FF3D6C">
        <w:t xml:space="preserve"> Фонду гарантування вкладів фізичних осіб</w:t>
      </w:r>
      <w:bookmarkEnd w:id="2"/>
    </w:p>
    <w:p w:rsidR="00FF3D6C" w:rsidRDefault="00FF3D6C" w:rsidP="00FF3D6C">
      <w:pPr>
        <w:ind w:firstLine="709"/>
        <w:rPr>
          <w:lang w:val="uk-UA" w:eastAsia="uk-UA"/>
        </w:rPr>
      </w:pPr>
    </w:p>
    <w:p w:rsidR="00FF3D6C" w:rsidRPr="00FF3D6C" w:rsidRDefault="001E0F4B" w:rsidP="00FF3D6C">
      <w:pPr>
        <w:ind w:firstLine="709"/>
        <w:rPr>
          <w:lang w:val="uk-UA" w:eastAsia="uk-UA"/>
        </w:rPr>
      </w:pPr>
      <w:r w:rsidRPr="00FF3D6C">
        <w:rPr>
          <w:lang w:val="uk-UA" w:eastAsia="uk-UA"/>
        </w:rPr>
        <w:t>На розгляді у парламенті перебуває проект закону</w:t>
      </w:r>
      <w:r w:rsidR="00FF3D6C" w:rsidRPr="00FF3D6C">
        <w:rPr>
          <w:lang w:val="uk-UA" w:eastAsia="uk-UA"/>
        </w:rPr>
        <w:t xml:space="preserve"> "</w:t>
      </w:r>
      <w:r w:rsidRPr="00FF3D6C">
        <w:rPr>
          <w:lang w:val="uk-UA" w:eastAsia="uk-UA"/>
        </w:rPr>
        <w:t>Про гарантування вкладів фізичних осіб</w:t>
      </w:r>
      <w:r w:rsidR="00FF3D6C" w:rsidRPr="00FF3D6C">
        <w:rPr>
          <w:lang w:val="uk-UA" w:eastAsia="uk-UA"/>
        </w:rPr>
        <w:t xml:space="preserve">", </w:t>
      </w:r>
      <w:r w:rsidRPr="00FF3D6C">
        <w:rPr>
          <w:lang w:val="uk-UA" w:eastAsia="uk-UA"/>
        </w:rPr>
        <w:t>який замінить нині діючий закон</w:t>
      </w:r>
      <w:r w:rsidR="00FF3D6C" w:rsidRPr="00FF3D6C">
        <w:rPr>
          <w:lang w:val="uk-UA" w:eastAsia="uk-UA"/>
        </w:rPr>
        <w:t xml:space="preserve"> "</w:t>
      </w:r>
      <w:r w:rsidRPr="00FF3D6C">
        <w:rPr>
          <w:lang w:val="uk-UA" w:eastAsia="uk-UA"/>
        </w:rPr>
        <w:t>Про Фонд гарантування вкладів фізичних осіб</w:t>
      </w:r>
      <w:r w:rsidR="00FF3D6C" w:rsidRPr="00FF3D6C">
        <w:rPr>
          <w:lang w:val="uk-UA" w:eastAsia="uk-UA"/>
        </w:rPr>
        <w:t xml:space="preserve">" </w:t>
      </w:r>
      <w:r w:rsidRPr="00FF3D6C">
        <w:rPr>
          <w:lang w:val="uk-UA" w:eastAsia="uk-UA"/>
        </w:rPr>
        <w:t>і наділить Фонд новими повноваженнями</w:t>
      </w:r>
      <w:r w:rsidR="00FF3D6C" w:rsidRPr="00FF3D6C">
        <w:rPr>
          <w:lang w:val="uk-UA" w:eastAsia="uk-UA"/>
        </w:rPr>
        <w:t>.</w:t>
      </w:r>
    </w:p>
    <w:p w:rsidR="00FF3D6C" w:rsidRPr="00FF3D6C" w:rsidRDefault="00264A77" w:rsidP="00FF3D6C">
      <w:pPr>
        <w:ind w:firstLine="709"/>
        <w:rPr>
          <w:lang w:val="uk-UA" w:eastAsia="uk-UA"/>
        </w:rPr>
      </w:pPr>
      <w:r w:rsidRPr="00FF3D6C">
        <w:rPr>
          <w:lang w:val="uk-UA" w:eastAsia="uk-UA"/>
        </w:rPr>
        <w:t xml:space="preserve">Це є цілком логічний крок тому як </w:t>
      </w:r>
      <w:r w:rsidR="001E0F4B" w:rsidRPr="00FF3D6C">
        <w:rPr>
          <w:lang w:val="uk-UA" w:eastAsia="uk-UA"/>
        </w:rPr>
        <w:t xml:space="preserve">Національному банку України нині дуже важко поєднувати монетарну функцію та функцію нагляду і це наочно було видно на тлі розгортання кризи, коли НБУ видавав рефінансування проблемним банкам, чиї власники просто </w:t>
      </w:r>
      <w:r w:rsidRPr="00FF3D6C">
        <w:rPr>
          <w:lang w:val="uk-UA" w:eastAsia="uk-UA"/>
        </w:rPr>
        <w:t>вивели гроші після їх отримання</w:t>
      </w:r>
      <w:r w:rsidR="00FF3D6C" w:rsidRPr="00FF3D6C">
        <w:rPr>
          <w:lang w:val="uk-UA" w:eastAsia="uk-UA"/>
        </w:rPr>
        <w:t>.</w:t>
      </w:r>
    </w:p>
    <w:p w:rsidR="00FF3D6C" w:rsidRPr="00FF3D6C" w:rsidRDefault="001E0F4B" w:rsidP="00FF3D6C">
      <w:pPr>
        <w:ind w:firstLine="709"/>
        <w:rPr>
          <w:lang w:val="uk-UA" w:eastAsia="uk-UA"/>
        </w:rPr>
      </w:pPr>
      <w:r w:rsidRPr="00FF3D6C">
        <w:rPr>
          <w:lang w:val="uk-UA" w:eastAsia="uk-UA"/>
        </w:rPr>
        <w:t>Про це також свідчить і ситуація, яка виникла при адмініструванні декількох проблемних банків, коли тимчасовою адміністрацією було організовано фіктивне відкриття вкладів більш ніж 1 тис</w:t>
      </w:r>
      <w:r w:rsidR="00FF3D6C" w:rsidRPr="00FF3D6C">
        <w:rPr>
          <w:lang w:val="uk-UA" w:eastAsia="uk-UA"/>
        </w:rPr>
        <w:t xml:space="preserve">. </w:t>
      </w:r>
      <w:r w:rsidRPr="00FF3D6C">
        <w:rPr>
          <w:lang w:val="uk-UA" w:eastAsia="uk-UA"/>
        </w:rPr>
        <w:t>фізичних осіб на суму, що</w:t>
      </w:r>
      <w:r w:rsidR="00264A77" w:rsidRPr="00FF3D6C">
        <w:rPr>
          <w:lang w:val="uk-UA" w:eastAsia="uk-UA"/>
        </w:rPr>
        <w:t xml:space="preserve"> перевищує 200 млн</w:t>
      </w:r>
      <w:r w:rsidR="00FF3D6C" w:rsidRPr="00FF3D6C">
        <w:rPr>
          <w:lang w:val="uk-UA" w:eastAsia="uk-UA"/>
        </w:rPr>
        <w:t xml:space="preserve">. </w:t>
      </w:r>
      <w:r w:rsidR="00264A77" w:rsidRPr="00FF3D6C">
        <w:rPr>
          <w:lang w:val="uk-UA" w:eastAsia="uk-UA"/>
        </w:rPr>
        <w:t>гривень</w:t>
      </w:r>
      <w:r w:rsidR="00FF3D6C" w:rsidRPr="00FF3D6C">
        <w:rPr>
          <w:lang w:val="uk-UA" w:eastAsia="uk-UA"/>
        </w:rPr>
        <w:t>.</w:t>
      </w:r>
    </w:p>
    <w:p w:rsidR="00FF3D6C" w:rsidRPr="00FF3D6C" w:rsidRDefault="001E0F4B" w:rsidP="00FF3D6C">
      <w:pPr>
        <w:ind w:firstLine="709"/>
        <w:rPr>
          <w:lang w:val="uk-UA" w:eastAsia="uk-UA"/>
        </w:rPr>
      </w:pPr>
      <w:r w:rsidRPr="00FF3D6C">
        <w:rPr>
          <w:lang w:val="uk-UA" w:eastAsia="uk-UA"/>
        </w:rPr>
        <w:t>Саме тому передача наглядових функцій Фонду підсилить ефективність, а також прискорить розв'язання питань проблемних банків, і дозволить НБУ зосередитися на здійсненні своєї головної функції</w:t>
      </w:r>
      <w:r w:rsidR="00FF3D6C" w:rsidRPr="00FF3D6C">
        <w:rPr>
          <w:lang w:val="uk-UA" w:eastAsia="uk-UA"/>
        </w:rPr>
        <w:t xml:space="preserve"> - </w:t>
      </w:r>
      <w:r w:rsidRPr="00FF3D6C">
        <w:rPr>
          <w:lang w:val="uk-UA" w:eastAsia="uk-UA"/>
        </w:rPr>
        <w:t>монетарної</w:t>
      </w:r>
      <w:r w:rsidR="00FF3D6C" w:rsidRPr="00FF3D6C">
        <w:rPr>
          <w:lang w:val="uk-UA" w:eastAsia="uk-UA"/>
        </w:rPr>
        <w:t>.</w:t>
      </w:r>
    </w:p>
    <w:p w:rsidR="00FF3D6C" w:rsidRPr="00FF3D6C" w:rsidRDefault="001E0F4B" w:rsidP="00FF3D6C">
      <w:pPr>
        <w:ind w:firstLine="709"/>
        <w:rPr>
          <w:lang w:val="uk-UA" w:eastAsia="uk-UA"/>
        </w:rPr>
      </w:pPr>
      <w:r w:rsidRPr="00FF3D6C">
        <w:rPr>
          <w:lang w:val="uk-UA" w:eastAsia="uk-UA"/>
        </w:rPr>
        <w:t>Також прийняття цього законопроекту дозволить підвищити ефективність банківського нагляду в частині повернення грошей, витрачених фондом на видачу вкладів фізичним особам, а також дасть можливість оптимізувати строки прийняття рішень щодо санації банків та їх реалізації, що є дуже важливим нині, коли в країні ліквідується 18 банків</w:t>
      </w:r>
      <w:r w:rsidR="00FF3D6C" w:rsidRPr="00FF3D6C">
        <w:rPr>
          <w:lang w:val="uk-UA" w:eastAsia="uk-UA"/>
        </w:rPr>
        <w:t xml:space="preserve">. </w:t>
      </w:r>
      <w:r w:rsidRPr="00FF3D6C">
        <w:rPr>
          <w:lang w:val="uk-UA" w:eastAsia="uk-UA"/>
        </w:rPr>
        <w:t>Слід відзначити, що подібна практика існує в США та Німеччині</w:t>
      </w:r>
      <w:r w:rsidR="00FF3D6C" w:rsidRPr="00FF3D6C">
        <w:rPr>
          <w:lang w:val="uk-UA" w:eastAsia="uk-UA"/>
        </w:rPr>
        <w:t xml:space="preserve">. </w:t>
      </w:r>
      <w:r w:rsidRPr="00FF3D6C">
        <w:rPr>
          <w:lang w:val="uk-UA" w:eastAsia="uk-UA"/>
        </w:rPr>
        <w:t xml:space="preserve">Так, в США цим займається Національна система страхування вкладів, а в Росії функції ліквідації банків покладені не на Центральний банк, а на Агентство страхування </w:t>
      </w:r>
      <w:r w:rsidR="00264A77" w:rsidRPr="00FF3D6C">
        <w:rPr>
          <w:lang w:val="uk-UA" w:eastAsia="uk-UA"/>
        </w:rPr>
        <w:t>внесків</w:t>
      </w:r>
      <w:r w:rsidR="00FF3D6C" w:rsidRPr="00FF3D6C">
        <w:rPr>
          <w:lang w:val="uk-UA" w:eastAsia="uk-UA"/>
        </w:rPr>
        <w:t>.</w:t>
      </w:r>
    </w:p>
    <w:p w:rsidR="00FF3D6C" w:rsidRPr="00FF3D6C" w:rsidRDefault="00264A77" w:rsidP="00FF3D6C">
      <w:pPr>
        <w:ind w:firstLine="709"/>
        <w:rPr>
          <w:lang w:val="uk-UA" w:eastAsia="uk-UA"/>
        </w:rPr>
      </w:pPr>
      <w:r w:rsidRPr="00FF3D6C">
        <w:rPr>
          <w:lang w:val="uk-UA" w:eastAsia="uk-UA"/>
        </w:rPr>
        <w:t>Ш</w:t>
      </w:r>
      <w:r w:rsidR="001E0F4B" w:rsidRPr="00FF3D6C">
        <w:rPr>
          <w:lang w:val="uk-UA" w:eastAsia="uk-UA"/>
        </w:rPr>
        <w:t>видше за все, перші позитивні зрушення в цьому напрямку будуть спостерігатися не раніше ніж через рік, оскільки для функціонування механізму на повну потужність Фонду необхідні і досвід, і час</w:t>
      </w:r>
      <w:r w:rsidR="00FF3D6C" w:rsidRPr="00FF3D6C">
        <w:rPr>
          <w:lang w:val="uk-UA" w:eastAsia="uk-UA"/>
        </w:rPr>
        <w:t>.</w:t>
      </w:r>
    </w:p>
    <w:p w:rsidR="000E25A6" w:rsidRPr="00FF3D6C" w:rsidRDefault="000E25A6" w:rsidP="00FF3D6C">
      <w:pPr>
        <w:ind w:firstLine="709"/>
        <w:rPr>
          <w:lang w:val="uk-UA"/>
        </w:rPr>
      </w:pPr>
      <w:bookmarkStart w:id="3" w:name="_GoBack"/>
      <w:bookmarkEnd w:id="3"/>
    </w:p>
    <w:sectPr w:rsidR="000E25A6" w:rsidRPr="00FF3D6C" w:rsidSect="00FF3D6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697" w:rsidRDefault="00E54697">
      <w:pPr>
        <w:ind w:firstLine="709"/>
      </w:pPr>
      <w:r>
        <w:separator/>
      </w:r>
    </w:p>
  </w:endnote>
  <w:endnote w:type="continuationSeparator" w:id="0">
    <w:p w:rsidR="00E54697" w:rsidRDefault="00E54697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D6C" w:rsidRDefault="00FF3D6C">
    <w:pPr>
      <w:pStyle w:val="af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D6C" w:rsidRDefault="00FF3D6C">
    <w:pPr>
      <w:pStyle w:val="af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697" w:rsidRDefault="00E54697">
      <w:pPr>
        <w:ind w:firstLine="709"/>
      </w:pPr>
      <w:r>
        <w:separator/>
      </w:r>
    </w:p>
  </w:footnote>
  <w:footnote w:type="continuationSeparator" w:id="0">
    <w:p w:rsidR="00E54697" w:rsidRDefault="00E54697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D6C" w:rsidRDefault="00106055" w:rsidP="00FF3D6C">
    <w:pPr>
      <w:pStyle w:val="ac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FF3D6C" w:rsidRDefault="00FF3D6C" w:rsidP="00FF3D6C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D6C" w:rsidRDefault="00FF3D6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EE20B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D689F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26C1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312F5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17678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C04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90487C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0B239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F4A7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92C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FA0698"/>
    <w:multiLevelType w:val="hybridMultilevel"/>
    <w:tmpl w:val="03145F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C71DF"/>
    <w:multiLevelType w:val="hybridMultilevel"/>
    <w:tmpl w:val="7EC0169A"/>
    <w:lvl w:ilvl="0" w:tplc="0E5AF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AE9161D"/>
    <w:multiLevelType w:val="hybridMultilevel"/>
    <w:tmpl w:val="8B9679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3A6D01"/>
    <w:multiLevelType w:val="hybridMultilevel"/>
    <w:tmpl w:val="3CB2F59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90014B"/>
    <w:multiLevelType w:val="hybridMultilevel"/>
    <w:tmpl w:val="18B674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1C7BD2"/>
    <w:multiLevelType w:val="hybridMultilevel"/>
    <w:tmpl w:val="0EB69A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17"/>
  </w:num>
  <w:num w:numId="5">
    <w:abstractNumId w:val="11"/>
  </w:num>
  <w:num w:numId="6">
    <w:abstractNumId w:val="12"/>
  </w:num>
  <w:num w:numId="7">
    <w:abstractNumId w:val="10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F4B"/>
    <w:rsid w:val="0000010B"/>
    <w:rsid w:val="00000F83"/>
    <w:rsid w:val="00031264"/>
    <w:rsid w:val="00035179"/>
    <w:rsid w:val="00081EC8"/>
    <w:rsid w:val="00086251"/>
    <w:rsid w:val="000A2CD5"/>
    <w:rsid w:val="000A730B"/>
    <w:rsid w:val="000C0303"/>
    <w:rsid w:val="000C137A"/>
    <w:rsid w:val="000C1628"/>
    <w:rsid w:val="000C39CA"/>
    <w:rsid w:val="000E25A6"/>
    <w:rsid w:val="000F5BCD"/>
    <w:rsid w:val="00106055"/>
    <w:rsid w:val="00114C2A"/>
    <w:rsid w:val="00132388"/>
    <w:rsid w:val="00137684"/>
    <w:rsid w:val="00173F9B"/>
    <w:rsid w:val="0018482B"/>
    <w:rsid w:val="001B50C7"/>
    <w:rsid w:val="001E0F4B"/>
    <w:rsid w:val="00235AC9"/>
    <w:rsid w:val="00241A7D"/>
    <w:rsid w:val="00264A77"/>
    <w:rsid w:val="00292DF5"/>
    <w:rsid w:val="0029367B"/>
    <w:rsid w:val="002A3F2A"/>
    <w:rsid w:val="002A7E5F"/>
    <w:rsid w:val="002E1164"/>
    <w:rsid w:val="002E4CCF"/>
    <w:rsid w:val="00304DD5"/>
    <w:rsid w:val="00320530"/>
    <w:rsid w:val="00331EF7"/>
    <w:rsid w:val="00346780"/>
    <w:rsid w:val="0036419F"/>
    <w:rsid w:val="00371257"/>
    <w:rsid w:val="003773C5"/>
    <w:rsid w:val="00385508"/>
    <w:rsid w:val="003863C8"/>
    <w:rsid w:val="00396C98"/>
    <w:rsid w:val="003B2674"/>
    <w:rsid w:val="003D4258"/>
    <w:rsid w:val="00425E83"/>
    <w:rsid w:val="004275E6"/>
    <w:rsid w:val="00462305"/>
    <w:rsid w:val="00465986"/>
    <w:rsid w:val="004746DE"/>
    <w:rsid w:val="00490D95"/>
    <w:rsid w:val="004914F8"/>
    <w:rsid w:val="004B3768"/>
    <w:rsid w:val="004D64F1"/>
    <w:rsid w:val="004E7636"/>
    <w:rsid w:val="004F7B41"/>
    <w:rsid w:val="00543408"/>
    <w:rsid w:val="005C1C9D"/>
    <w:rsid w:val="005F2087"/>
    <w:rsid w:val="0067093F"/>
    <w:rsid w:val="006C3310"/>
    <w:rsid w:val="006C55BC"/>
    <w:rsid w:val="006F772B"/>
    <w:rsid w:val="0070436B"/>
    <w:rsid w:val="00727E3E"/>
    <w:rsid w:val="0073772A"/>
    <w:rsid w:val="007611DD"/>
    <w:rsid w:val="00763CDE"/>
    <w:rsid w:val="00781E75"/>
    <w:rsid w:val="00794B08"/>
    <w:rsid w:val="007A661C"/>
    <w:rsid w:val="007A7060"/>
    <w:rsid w:val="00806A3C"/>
    <w:rsid w:val="00813024"/>
    <w:rsid w:val="00830469"/>
    <w:rsid w:val="00854D85"/>
    <w:rsid w:val="00856AB8"/>
    <w:rsid w:val="00873126"/>
    <w:rsid w:val="008858E4"/>
    <w:rsid w:val="008A42B0"/>
    <w:rsid w:val="008B1FA8"/>
    <w:rsid w:val="008F00FE"/>
    <w:rsid w:val="008F0F92"/>
    <w:rsid w:val="008F36C1"/>
    <w:rsid w:val="00903A43"/>
    <w:rsid w:val="00910CEA"/>
    <w:rsid w:val="0091142A"/>
    <w:rsid w:val="00922C20"/>
    <w:rsid w:val="009239EB"/>
    <w:rsid w:val="00944087"/>
    <w:rsid w:val="009720CA"/>
    <w:rsid w:val="009733C2"/>
    <w:rsid w:val="00973FCC"/>
    <w:rsid w:val="00992372"/>
    <w:rsid w:val="009A483C"/>
    <w:rsid w:val="009B0951"/>
    <w:rsid w:val="00A03B22"/>
    <w:rsid w:val="00A17605"/>
    <w:rsid w:val="00A22F6D"/>
    <w:rsid w:val="00A7674C"/>
    <w:rsid w:val="00A93F4E"/>
    <w:rsid w:val="00AA6394"/>
    <w:rsid w:val="00AA6917"/>
    <w:rsid w:val="00AC6238"/>
    <w:rsid w:val="00AE49B6"/>
    <w:rsid w:val="00AF0F9E"/>
    <w:rsid w:val="00AF641F"/>
    <w:rsid w:val="00B2254C"/>
    <w:rsid w:val="00B33A73"/>
    <w:rsid w:val="00B43B70"/>
    <w:rsid w:val="00B46933"/>
    <w:rsid w:val="00B5233F"/>
    <w:rsid w:val="00B52A14"/>
    <w:rsid w:val="00B61D16"/>
    <w:rsid w:val="00B65DE5"/>
    <w:rsid w:val="00B739FD"/>
    <w:rsid w:val="00BC50DF"/>
    <w:rsid w:val="00BD33C8"/>
    <w:rsid w:val="00C4283B"/>
    <w:rsid w:val="00C61189"/>
    <w:rsid w:val="00C65DBF"/>
    <w:rsid w:val="00C91001"/>
    <w:rsid w:val="00C92543"/>
    <w:rsid w:val="00C973CF"/>
    <w:rsid w:val="00CB037D"/>
    <w:rsid w:val="00CB04BA"/>
    <w:rsid w:val="00CB5AC7"/>
    <w:rsid w:val="00CB6062"/>
    <w:rsid w:val="00CD0341"/>
    <w:rsid w:val="00CF0308"/>
    <w:rsid w:val="00CF1AF0"/>
    <w:rsid w:val="00D112AF"/>
    <w:rsid w:val="00D15001"/>
    <w:rsid w:val="00D635F4"/>
    <w:rsid w:val="00D7372C"/>
    <w:rsid w:val="00DA5FB0"/>
    <w:rsid w:val="00DB24DC"/>
    <w:rsid w:val="00DE45B6"/>
    <w:rsid w:val="00E3477B"/>
    <w:rsid w:val="00E3736A"/>
    <w:rsid w:val="00E505B1"/>
    <w:rsid w:val="00E54697"/>
    <w:rsid w:val="00E731B5"/>
    <w:rsid w:val="00E84511"/>
    <w:rsid w:val="00ED048E"/>
    <w:rsid w:val="00F24516"/>
    <w:rsid w:val="00F32E19"/>
    <w:rsid w:val="00F844C0"/>
    <w:rsid w:val="00FA63B5"/>
    <w:rsid w:val="00FA6A77"/>
    <w:rsid w:val="00FB267A"/>
    <w:rsid w:val="00FB4CC9"/>
    <w:rsid w:val="00FB68E6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891381-76AB-42B8-B5BC-5C6224A86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FF3D6C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FF3D6C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FF3D6C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FF3D6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FF3D6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FF3D6C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FF3D6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FF3D6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FF3D6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No Spacing"/>
    <w:uiPriority w:val="99"/>
    <w:qFormat/>
    <w:rsid w:val="00543408"/>
    <w:rPr>
      <w:rFonts w:eastAsia="Times New Roman" w:cs="Calibri"/>
      <w:sz w:val="22"/>
      <w:szCs w:val="22"/>
      <w:lang w:val="uk-UA" w:eastAsia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Normal (Web)"/>
    <w:basedOn w:val="a0"/>
    <w:uiPriority w:val="99"/>
    <w:rsid w:val="00FF3D6C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6">
    <w:name w:val="Emphasis"/>
    <w:uiPriority w:val="99"/>
    <w:qFormat/>
    <w:rsid w:val="001E0F4B"/>
    <w:rPr>
      <w:i/>
      <w:iCs/>
    </w:rPr>
  </w:style>
  <w:style w:type="paragraph" w:styleId="a7">
    <w:name w:val="Balloon Text"/>
    <w:basedOn w:val="a0"/>
    <w:uiPriority w:val="99"/>
    <w:semiHidden/>
    <w:rsid w:val="001E0F4B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paragraph" w:styleId="a8">
    <w:name w:val="List Paragraph"/>
    <w:basedOn w:val="a0"/>
    <w:uiPriority w:val="99"/>
    <w:qFormat/>
    <w:rsid w:val="00CB04BA"/>
    <w:pPr>
      <w:ind w:left="720" w:firstLine="709"/>
    </w:pPr>
  </w:style>
  <w:style w:type="character" w:customStyle="1" w:styleId="12">
    <w:name w:val="Текст Знак1"/>
    <w:link w:val="a9"/>
    <w:uiPriority w:val="99"/>
    <w:locked/>
    <w:rsid w:val="00FF3D6C"/>
    <w:rPr>
      <w:rFonts w:ascii="Consolas" w:eastAsia="Times New Roman" w:hAnsi="Consolas" w:cs="Consolas"/>
      <w:sz w:val="21"/>
      <w:szCs w:val="21"/>
      <w:lang w:val="uk-UA" w:eastAsia="en-US"/>
    </w:rPr>
  </w:style>
  <w:style w:type="paragraph" w:customStyle="1" w:styleId="38">
    <w:name w:val="стиль38"/>
    <w:basedOn w:val="a0"/>
    <w:uiPriority w:val="99"/>
    <w:rsid w:val="004B3768"/>
    <w:pPr>
      <w:spacing w:before="100" w:beforeAutospacing="1" w:after="100" w:afterAutospacing="1" w:line="240" w:lineRule="auto"/>
      <w:ind w:firstLine="709"/>
    </w:pPr>
    <w:rPr>
      <w:sz w:val="24"/>
      <w:szCs w:val="24"/>
      <w:lang w:eastAsia="uk-UA"/>
    </w:rPr>
  </w:style>
  <w:style w:type="character" w:customStyle="1" w:styleId="29">
    <w:name w:val="стиль29"/>
    <w:uiPriority w:val="99"/>
    <w:rsid w:val="004B3768"/>
  </w:style>
  <w:style w:type="character" w:styleId="aa">
    <w:name w:val="Strong"/>
    <w:uiPriority w:val="99"/>
    <w:qFormat/>
    <w:rsid w:val="004B3768"/>
    <w:rPr>
      <w:b/>
      <w:bCs/>
    </w:rPr>
  </w:style>
  <w:style w:type="paragraph" w:customStyle="1" w:styleId="291">
    <w:name w:val="стиль291"/>
    <w:basedOn w:val="a0"/>
    <w:uiPriority w:val="99"/>
    <w:rsid w:val="004B3768"/>
    <w:pPr>
      <w:spacing w:before="100" w:beforeAutospacing="1" w:after="100" w:afterAutospacing="1" w:line="240" w:lineRule="auto"/>
      <w:ind w:firstLine="709"/>
    </w:pPr>
    <w:rPr>
      <w:sz w:val="24"/>
      <w:szCs w:val="24"/>
      <w:lang w:eastAsia="uk-UA"/>
    </w:rPr>
  </w:style>
  <w:style w:type="character" w:customStyle="1" w:styleId="30">
    <w:name w:val="Заголовок 3 Знак"/>
    <w:link w:val="3"/>
    <w:uiPriority w:val="99"/>
    <w:locked/>
    <w:rsid w:val="002E1164"/>
    <w:rPr>
      <w:b/>
      <w:bCs/>
      <w:noProof/>
      <w:sz w:val="28"/>
      <w:szCs w:val="28"/>
      <w:lang w:val="ru-RU" w:eastAsia="ru-RU"/>
    </w:rPr>
  </w:style>
  <w:style w:type="character" w:styleId="ab">
    <w:name w:val="Hyperlink"/>
    <w:uiPriority w:val="99"/>
    <w:semiHidden/>
    <w:rsid w:val="00CB037D"/>
    <w:rPr>
      <w:color w:val="0000FF"/>
      <w:u w:val="single"/>
    </w:rPr>
  </w:style>
  <w:style w:type="paragraph" w:styleId="ac">
    <w:name w:val="header"/>
    <w:basedOn w:val="a0"/>
    <w:next w:val="ad"/>
    <w:link w:val="ae"/>
    <w:uiPriority w:val="99"/>
    <w:rsid w:val="00FF3D6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FF3D6C"/>
    <w:rPr>
      <w:vertAlign w:val="superscript"/>
    </w:rPr>
  </w:style>
  <w:style w:type="paragraph" w:styleId="ad">
    <w:name w:val="Body Text"/>
    <w:basedOn w:val="a0"/>
    <w:link w:val="af0"/>
    <w:uiPriority w:val="99"/>
    <w:rsid w:val="00FF3D6C"/>
    <w:pPr>
      <w:ind w:firstLine="709"/>
    </w:pPr>
  </w:style>
  <w:style w:type="character" w:customStyle="1" w:styleId="af0">
    <w:name w:val="Основной текст Знак"/>
    <w:link w:val="ad"/>
    <w:uiPriority w:val="99"/>
    <w:semiHidden/>
    <w:rPr>
      <w:rFonts w:ascii="Times New Roman" w:hAnsi="Times New Roman"/>
      <w:sz w:val="28"/>
      <w:szCs w:val="28"/>
    </w:rPr>
  </w:style>
  <w:style w:type="paragraph" w:styleId="a9">
    <w:name w:val="Plain Text"/>
    <w:basedOn w:val="a0"/>
    <w:link w:val="12"/>
    <w:uiPriority w:val="99"/>
    <w:rsid w:val="00FF3D6C"/>
    <w:pPr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Верхний колонтитул Знак"/>
    <w:link w:val="ac"/>
    <w:uiPriority w:val="99"/>
    <w:semiHidden/>
    <w:locked/>
    <w:rsid w:val="00FF3D6C"/>
    <w:rPr>
      <w:noProof/>
      <w:kern w:val="16"/>
      <w:sz w:val="28"/>
      <w:szCs w:val="28"/>
      <w:lang w:val="ru-RU" w:eastAsia="ru-RU"/>
    </w:rPr>
  </w:style>
  <w:style w:type="character" w:styleId="af2">
    <w:name w:val="footnote reference"/>
    <w:uiPriority w:val="99"/>
    <w:semiHidden/>
    <w:rsid w:val="00FF3D6C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F3D6C"/>
    <w:pPr>
      <w:numPr>
        <w:numId w:val="7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3">
    <w:name w:val="лит+номерация"/>
    <w:basedOn w:val="a0"/>
    <w:next w:val="a0"/>
    <w:autoRedefine/>
    <w:uiPriority w:val="99"/>
    <w:rsid w:val="00FF3D6C"/>
    <w:pPr>
      <w:ind w:firstLine="0"/>
    </w:pPr>
  </w:style>
  <w:style w:type="paragraph" w:customStyle="1" w:styleId="af4">
    <w:name w:val="литера"/>
    <w:uiPriority w:val="99"/>
    <w:rsid w:val="00FF3D6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FF3D6C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FF3D6C"/>
    <w:rPr>
      <w:sz w:val="28"/>
      <w:szCs w:val="28"/>
    </w:rPr>
  </w:style>
  <w:style w:type="paragraph" w:customStyle="1" w:styleId="af7">
    <w:name w:val="Обычный +"/>
    <w:basedOn w:val="a0"/>
    <w:autoRedefine/>
    <w:uiPriority w:val="99"/>
    <w:rsid w:val="00FF3D6C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FF3D6C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FF3D6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FF3D6C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FF3D6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FF3D6C"/>
    <w:pPr>
      <w:ind w:left="958" w:firstLine="709"/>
    </w:pPr>
  </w:style>
  <w:style w:type="paragraph" w:styleId="af8">
    <w:name w:val="Body Text Indent"/>
    <w:basedOn w:val="a0"/>
    <w:link w:val="af9"/>
    <w:uiPriority w:val="99"/>
    <w:rsid w:val="00FF3D6C"/>
    <w:pPr>
      <w:shd w:val="clear" w:color="auto" w:fill="FFFFFF"/>
      <w:spacing w:before="192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rPr>
      <w:rFonts w:ascii="Times New Roman" w:hAnsi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FF3D6C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FF3D6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a">
    <w:name w:val="Table Grid"/>
    <w:basedOn w:val="a2"/>
    <w:uiPriority w:val="99"/>
    <w:rsid w:val="00FF3D6C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FF3D6C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FF3D6C"/>
    <w:pPr>
      <w:numPr>
        <w:numId w:val="8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FF3D6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F3D6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FF3D6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F3D6C"/>
    <w:rPr>
      <w:i/>
      <w:iCs/>
    </w:rPr>
  </w:style>
  <w:style w:type="table" w:customStyle="1" w:styleId="14">
    <w:name w:val="Стиль таблицы1"/>
    <w:basedOn w:val="a2"/>
    <w:uiPriority w:val="99"/>
    <w:rsid w:val="00FF3D6C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autoRedefine/>
    <w:uiPriority w:val="99"/>
    <w:rsid w:val="00FF3D6C"/>
    <w:pPr>
      <w:jc w:val="center"/>
    </w:pPr>
    <w:rPr>
      <w:rFonts w:ascii="Times New Roman" w:hAnsi="Times New Roman"/>
    </w:rPr>
  </w:style>
  <w:style w:type="paragraph" w:customStyle="1" w:styleId="afd">
    <w:name w:val="ТАБЛИЦА"/>
    <w:next w:val="a0"/>
    <w:autoRedefine/>
    <w:uiPriority w:val="99"/>
    <w:rsid w:val="00FF3D6C"/>
    <w:pPr>
      <w:spacing w:line="360" w:lineRule="auto"/>
    </w:pPr>
    <w:rPr>
      <w:rFonts w:ascii="Times New Roman" w:hAnsi="Times New Roman"/>
      <w:color w:val="000000"/>
    </w:rPr>
  </w:style>
  <w:style w:type="paragraph" w:styleId="afe">
    <w:name w:val="endnote text"/>
    <w:basedOn w:val="a0"/>
    <w:link w:val="aff"/>
    <w:autoRedefine/>
    <w:uiPriority w:val="99"/>
    <w:semiHidden/>
    <w:rsid w:val="00FF3D6C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hAnsi="Times New Roman"/>
      <w:sz w:val="20"/>
      <w:szCs w:val="20"/>
    </w:rPr>
  </w:style>
  <w:style w:type="paragraph" w:styleId="aff0">
    <w:name w:val="footnote text"/>
    <w:basedOn w:val="a0"/>
    <w:link w:val="aff1"/>
    <w:autoRedefine/>
    <w:uiPriority w:val="99"/>
    <w:semiHidden/>
    <w:rsid w:val="00FF3D6C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FF3D6C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FF3D6C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f3">
    <w:name w:val="footer"/>
    <w:basedOn w:val="a0"/>
    <w:link w:val="aff4"/>
    <w:uiPriority w:val="99"/>
    <w:rsid w:val="00FF3D6C"/>
    <w:pPr>
      <w:tabs>
        <w:tab w:val="center" w:pos="4677"/>
        <w:tab w:val="right" w:pos="9355"/>
      </w:tabs>
      <w:ind w:firstLine="709"/>
    </w:pPr>
  </w:style>
  <w:style w:type="character" w:customStyle="1" w:styleId="aff4">
    <w:name w:val="Нижний колонтитул Знак"/>
    <w:link w:val="aff3"/>
    <w:uiPriority w:val="99"/>
    <w:semiHidden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86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1873</Words>
  <Characters>10678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Університет банківської справи Національного банку України</vt:lpstr>
    </vt:vector>
  </TitlesOfParts>
  <Company>Microsoft</Company>
  <LinksUpToDate>false</LinksUpToDate>
  <CharactersWithSpaces>12526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Університет банківської справи Національного банку України</dc:title>
  <dc:subject/>
  <dc:creator>Admin</dc:creator>
  <cp:keywords/>
  <dc:description/>
  <cp:lastModifiedBy>admin</cp:lastModifiedBy>
  <cp:revision>2</cp:revision>
  <cp:lastPrinted>2010-10-22T10:45:00Z</cp:lastPrinted>
  <dcterms:created xsi:type="dcterms:W3CDTF">2014-03-01T12:18:00Z</dcterms:created>
  <dcterms:modified xsi:type="dcterms:W3CDTF">2014-03-01T12:18:00Z</dcterms:modified>
</cp:coreProperties>
</file>