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793" w:rsidRPr="008D5537" w:rsidRDefault="00764793" w:rsidP="00764793">
      <w:pPr>
        <w:spacing w:before="120"/>
        <w:jc w:val="center"/>
        <w:rPr>
          <w:b/>
          <w:sz w:val="32"/>
        </w:rPr>
      </w:pPr>
      <w:r w:rsidRPr="008D5537">
        <w:rPr>
          <w:b/>
          <w:sz w:val="32"/>
        </w:rPr>
        <w:t>Проблеми вивчення токсичних елементів</w:t>
      </w:r>
    </w:p>
    <w:p w:rsidR="00764793" w:rsidRPr="008D5537" w:rsidRDefault="00764793" w:rsidP="00764793">
      <w:pPr>
        <w:spacing w:before="120"/>
        <w:jc w:val="center"/>
        <w:rPr>
          <w:sz w:val="28"/>
        </w:rPr>
      </w:pPr>
      <w:r w:rsidRPr="008D5537">
        <w:rPr>
          <w:sz w:val="28"/>
        </w:rPr>
        <w:t>Зиноьева К. Э., Никитенко А. В.</w:t>
      </w:r>
    </w:p>
    <w:p w:rsidR="00764793" w:rsidRPr="00B43339" w:rsidRDefault="00764793" w:rsidP="00764793">
      <w:pPr>
        <w:spacing w:before="120"/>
        <w:ind w:firstLine="567"/>
        <w:jc w:val="both"/>
      </w:pPr>
      <w:r w:rsidRPr="00B43339">
        <w:t>Витягання на поверхню із земних надр кам'яного вугілля – головної енергетичної сировини нашого регіону</w:t>
      </w:r>
      <w:r>
        <w:t xml:space="preserve">, </w:t>
      </w:r>
      <w:r w:rsidRPr="00B43339">
        <w:t>а також гірських порід</w:t>
      </w:r>
      <w:r>
        <w:t xml:space="preserve">, </w:t>
      </w:r>
      <w:r w:rsidRPr="00B43339">
        <w:t>з високим вмістом багатьох токсичних елементів і його подальше використання</w:t>
      </w:r>
      <w:r>
        <w:t xml:space="preserve">, </w:t>
      </w:r>
      <w:r w:rsidRPr="00B43339">
        <w:t>є одним з основних джерел забруднення навколишнього середовища регіону</w:t>
      </w:r>
      <w:r>
        <w:t xml:space="preserve">, </w:t>
      </w:r>
      <w:r w:rsidRPr="00B43339">
        <w:t xml:space="preserve">що негативно впливає на здоров'ї людини. </w:t>
      </w:r>
    </w:p>
    <w:p w:rsidR="00764793" w:rsidRPr="00B43339" w:rsidRDefault="00764793" w:rsidP="00764793">
      <w:pPr>
        <w:spacing w:before="120"/>
        <w:ind w:firstLine="567"/>
        <w:jc w:val="both"/>
      </w:pPr>
      <w:r w:rsidRPr="00B43339">
        <w:t>Вивчення "малих" елементів у вугільній речовині є актуальним направленням</w:t>
      </w:r>
      <w:r>
        <w:t xml:space="preserve">, </w:t>
      </w:r>
      <w:r w:rsidRPr="00B43339">
        <w:t>що дозволяє виявити закономірності їх розподілу у вугільних пластах. Це дозволить</w:t>
      </w:r>
      <w:r>
        <w:t xml:space="preserve">, </w:t>
      </w:r>
      <w:r w:rsidRPr="00B43339">
        <w:t>окрім Ge і U</w:t>
      </w:r>
      <w:r>
        <w:t xml:space="preserve">, </w:t>
      </w:r>
      <w:r w:rsidRPr="00B43339">
        <w:t>що мають сьогодні промислові значення концентрацій</w:t>
      </w:r>
      <w:r>
        <w:t xml:space="preserve">, </w:t>
      </w:r>
      <w:r w:rsidRPr="00B43339">
        <w:t>виділити як перспективні для пошуків і попутного витягання таких коштовних компонентів у вугіллі як W</w:t>
      </w:r>
      <w:r>
        <w:t xml:space="preserve">, </w:t>
      </w:r>
      <w:r w:rsidRPr="00B43339">
        <w:t>Ga</w:t>
      </w:r>
      <w:r>
        <w:t xml:space="preserve">, </w:t>
      </w:r>
      <w:r w:rsidRPr="00B43339">
        <w:t>Мо</w:t>
      </w:r>
      <w:r>
        <w:t xml:space="preserve">, </w:t>
      </w:r>
      <w:r w:rsidRPr="00B43339">
        <w:t>Re</w:t>
      </w:r>
      <w:r>
        <w:t xml:space="preserve">, </w:t>
      </w:r>
      <w:r w:rsidRPr="00B43339">
        <w:t>Ag і інших. Такі дослідження є корисними і з екологічного погляду</w:t>
      </w:r>
      <w:r>
        <w:t xml:space="preserve">, </w:t>
      </w:r>
      <w:r w:rsidRPr="00B43339">
        <w:t>оскільки допомагають детальніше вивчити проблеми</w:t>
      </w:r>
      <w:r>
        <w:t xml:space="preserve">, </w:t>
      </w:r>
      <w:r w:rsidRPr="00B43339">
        <w:t>пов'язані із зберіганням і використанням продуктів переробки вугілля</w:t>
      </w:r>
      <w:r>
        <w:t xml:space="preserve">, </w:t>
      </w:r>
      <w:r w:rsidRPr="00B43339">
        <w:t>проникаючого в грунт</w:t>
      </w:r>
      <w:r>
        <w:t xml:space="preserve">, </w:t>
      </w:r>
      <w:r w:rsidRPr="00B43339">
        <w:t>підземні і поверхневі води</w:t>
      </w:r>
      <w:r>
        <w:t xml:space="preserve">, </w:t>
      </w:r>
      <w:r w:rsidRPr="00B43339">
        <w:t>атмосферу</w:t>
      </w:r>
      <w:r>
        <w:t xml:space="preserve">, </w:t>
      </w:r>
      <w:r w:rsidRPr="00B43339">
        <w:t>а</w:t>
      </w:r>
      <w:r>
        <w:t xml:space="preserve">, </w:t>
      </w:r>
      <w:r w:rsidRPr="00B43339">
        <w:t>отже</w:t>
      </w:r>
      <w:r>
        <w:t xml:space="preserve">, </w:t>
      </w:r>
      <w:r w:rsidRPr="00B43339">
        <w:t>в тканини рослин</w:t>
      </w:r>
      <w:r>
        <w:t xml:space="preserve">, </w:t>
      </w:r>
      <w:r w:rsidRPr="00B43339">
        <w:t>організми тварин і людини. Таким чином</w:t>
      </w:r>
      <w:r>
        <w:t xml:space="preserve">, </w:t>
      </w:r>
      <w:r w:rsidRPr="00B43339">
        <w:t>виявивши вугілля з високим вмістом токсичних елементів</w:t>
      </w:r>
      <w:r>
        <w:t xml:space="preserve">, </w:t>
      </w:r>
      <w:r w:rsidRPr="00B43339">
        <w:t>можна понизити ступінь негативних наслідків і додаткового забруднення навколишнього середовища.</w:t>
      </w:r>
    </w:p>
    <w:p w:rsidR="00764793" w:rsidRPr="00B43339" w:rsidRDefault="00764793" w:rsidP="00764793">
      <w:pPr>
        <w:spacing w:before="120"/>
        <w:ind w:firstLine="567"/>
        <w:jc w:val="both"/>
      </w:pPr>
      <w:r w:rsidRPr="00B43339">
        <w:t>Враховуючи ступінь концентрації промислових підприємств регіону</w:t>
      </w:r>
      <w:r>
        <w:t xml:space="preserve">, </w:t>
      </w:r>
      <w:r w:rsidRPr="00B43339">
        <w:t>що використовують вугілля в своїх виробництвах</w:t>
      </w:r>
      <w:r>
        <w:t xml:space="preserve">, </w:t>
      </w:r>
      <w:r w:rsidRPr="00B43339">
        <w:t xml:space="preserve">важко переоцінити важливість подібного направлення дослідження вугільної речовини. </w:t>
      </w:r>
    </w:p>
    <w:p w:rsidR="00764793" w:rsidRPr="00B43339" w:rsidRDefault="00764793" w:rsidP="00764793">
      <w:pPr>
        <w:spacing w:before="120"/>
        <w:ind w:firstLine="567"/>
        <w:jc w:val="both"/>
      </w:pPr>
      <w:r w:rsidRPr="00B43339">
        <w:t>В якості об'єкта дослідження прийнято шахту ім. В.М. Бажанова ГП "Макєєвуголь" Донецько-макіївського вуглепромислового району</w:t>
      </w:r>
      <w:r>
        <w:t xml:space="preserve">, </w:t>
      </w:r>
      <w:r w:rsidRPr="00B43339">
        <w:t>товарна продукція якої прямує на збагачувальні фабрики («Росія» – 6</w:t>
      </w:r>
      <w:r>
        <w:t xml:space="preserve">, </w:t>
      </w:r>
      <w:r w:rsidRPr="00B43339">
        <w:t>7%</w:t>
      </w:r>
      <w:r>
        <w:t xml:space="preserve">, </w:t>
      </w:r>
      <w:r w:rsidRPr="00B43339">
        <w:t>«Кураховськая» – 1</w:t>
      </w:r>
      <w:r>
        <w:t xml:space="preserve">, </w:t>
      </w:r>
      <w:r w:rsidRPr="00B43339">
        <w:t>8% і ін.)</w:t>
      </w:r>
      <w:r>
        <w:t xml:space="preserve">, </w:t>
      </w:r>
      <w:r w:rsidRPr="00B43339">
        <w:t>ТЕС (Запорізьку</w:t>
      </w:r>
      <w:r>
        <w:t xml:space="preserve">, </w:t>
      </w:r>
      <w:r w:rsidRPr="00B43339">
        <w:t>Бурштинськую</w:t>
      </w:r>
      <w:r>
        <w:t xml:space="preserve">, </w:t>
      </w:r>
      <w:r w:rsidRPr="00B43339">
        <w:t>Зуєвськую)</w:t>
      </w:r>
      <w:r>
        <w:t xml:space="preserve">, </w:t>
      </w:r>
      <w:r w:rsidRPr="00B43339">
        <w:t>коксохімічні заводи (Ясиновський</w:t>
      </w:r>
      <w:r>
        <w:t xml:space="preserve">, </w:t>
      </w:r>
      <w:r w:rsidRPr="00B43339">
        <w:t xml:space="preserve">Дніпродзержинський і ін.); а також використовується для комунальних і побутових потреб. </w:t>
      </w:r>
    </w:p>
    <w:p w:rsidR="00764793" w:rsidRPr="00B43339" w:rsidRDefault="00764793" w:rsidP="00764793">
      <w:pPr>
        <w:spacing w:before="120"/>
        <w:ind w:firstLine="567"/>
        <w:jc w:val="both"/>
      </w:pPr>
      <w:r w:rsidRPr="00B43339">
        <w:t xml:space="preserve">ОП «шахтоуправління ім. В.М. Бажанова» територіально розташовується в промисловій зоні Центрально-міського району м. Макіївки. </w:t>
      </w:r>
    </w:p>
    <w:p w:rsidR="00764793" w:rsidRPr="00B43339" w:rsidRDefault="00764793" w:rsidP="00764793">
      <w:pPr>
        <w:spacing w:before="120"/>
        <w:ind w:firstLine="567"/>
        <w:jc w:val="both"/>
      </w:pPr>
      <w:r w:rsidRPr="00B43339">
        <w:t>Поле шахти ім. В.М. Бажанова геологічно складено кам'яновугільними</w:t>
      </w:r>
      <w:r>
        <w:t xml:space="preserve">, </w:t>
      </w:r>
      <w:r w:rsidRPr="00B43339">
        <w:t xml:space="preserve">неогеновими і чвертковими відкладеннями. У структурному відношенні розташовано в північно-східній частині південного крила Кальміус-Торецкой улоговини. </w:t>
      </w:r>
    </w:p>
    <w:p w:rsidR="00764793" w:rsidRPr="00B43339" w:rsidRDefault="00764793" w:rsidP="00764793">
      <w:pPr>
        <w:spacing w:before="120"/>
        <w:ind w:firstLine="567"/>
        <w:jc w:val="both"/>
      </w:pPr>
      <w:r w:rsidRPr="00B43339">
        <w:t>На даний момент шахта ім. В.М. Бажанова розробляє вугільний пласт m3 (марка До</w:t>
      </w:r>
      <w:r>
        <w:t xml:space="preserve">, </w:t>
      </w:r>
      <w:r w:rsidRPr="00B43339">
        <w:t>ОС). Повна потужність складає 1</w:t>
      </w:r>
      <w:r>
        <w:t xml:space="preserve">, </w:t>
      </w:r>
      <w:r w:rsidRPr="00B43339">
        <w:t>43 – 1</w:t>
      </w:r>
      <w:r>
        <w:t xml:space="preserve">, </w:t>
      </w:r>
      <w:smartTag w:uri="urn:schemas-microsoft-com:office:smarttags" w:element="metricconverter">
        <w:smartTagPr>
          <w:attr w:name="ProductID" w:val="64 м"/>
        </w:smartTagPr>
        <w:r w:rsidRPr="00B43339">
          <w:t>64 м</w:t>
        </w:r>
      </w:smartTag>
      <w:r>
        <w:t xml:space="preserve">, </w:t>
      </w:r>
      <w:r w:rsidRPr="00B43339">
        <w:t>корисна</w:t>
      </w:r>
      <w:r>
        <w:t xml:space="preserve"> - </w:t>
      </w:r>
      <w:r w:rsidRPr="00B43339">
        <w:t>1</w:t>
      </w:r>
      <w:r>
        <w:t xml:space="preserve">, </w:t>
      </w:r>
      <w:r w:rsidRPr="00B43339">
        <w:t>38 – 1</w:t>
      </w:r>
      <w:r>
        <w:t xml:space="preserve">, </w:t>
      </w:r>
      <w:smartTag w:uri="urn:schemas-microsoft-com:office:smarttags" w:element="metricconverter">
        <w:smartTagPr>
          <w:attr w:name="ProductID" w:val="59 м"/>
        </w:smartTagPr>
        <w:r w:rsidRPr="00B43339">
          <w:t>59 м</w:t>
        </w:r>
      </w:smartTag>
      <w:r w:rsidRPr="00B43339">
        <w:t>; продуктивність пласта – 2</w:t>
      </w:r>
      <w:r>
        <w:t xml:space="preserve">, </w:t>
      </w:r>
      <w:r w:rsidRPr="00B43339">
        <w:t xml:space="preserve">02 т/м3. </w:t>
      </w:r>
    </w:p>
    <w:p w:rsidR="00764793" w:rsidRDefault="00764793" w:rsidP="00764793">
      <w:pPr>
        <w:spacing w:before="120"/>
        <w:ind w:firstLine="567"/>
        <w:jc w:val="both"/>
      </w:pPr>
      <w:r w:rsidRPr="00B43339">
        <w:t>За результатами кернового випробування методом спектрального напівкількісного аналізу був вивчений вміст 30 хімічних елементів. На особливу увагу заслуговують наступні елементи: As</w:t>
      </w:r>
      <w:r>
        <w:t xml:space="preserve">, </w:t>
      </w:r>
      <w:r w:rsidRPr="00B43339">
        <w:t>Ве</w:t>
      </w:r>
      <w:r>
        <w:t xml:space="preserve">, </w:t>
      </w:r>
      <w:r w:rsidRPr="00B43339">
        <w:t>Co</w:t>
      </w:r>
      <w:r>
        <w:t xml:space="preserve">, </w:t>
      </w:r>
      <w:r w:rsidRPr="00B43339">
        <w:t>Мо</w:t>
      </w:r>
      <w:r>
        <w:t xml:space="preserve">, </w:t>
      </w:r>
      <w:r w:rsidRPr="00B43339">
        <w:t>Li</w:t>
      </w:r>
      <w:r>
        <w:t xml:space="preserve">, </w:t>
      </w:r>
      <w:r w:rsidRPr="00B43339">
        <w:t>Zn</w:t>
      </w:r>
      <w:r>
        <w:t xml:space="preserve">, </w:t>
      </w:r>
      <w:r w:rsidRPr="00B43339">
        <w:t>оскільки є токсичними (таблиця. 1) і представляють небезпеку для навколишнього середовища</w:t>
      </w:r>
      <w:r>
        <w:t xml:space="preserve">, </w:t>
      </w:r>
      <w:r w:rsidRPr="00B43339">
        <w:t>забруднення якого надає негативний вплив на умови існування організмів.</w:t>
      </w:r>
    </w:p>
    <w:p w:rsidR="00764793" w:rsidRPr="00B43339" w:rsidRDefault="00764793" w:rsidP="00764793">
      <w:pPr>
        <w:spacing w:before="120"/>
        <w:ind w:firstLine="567"/>
        <w:jc w:val="both"/>
      </w:pPr>
      <w:r w:rsidRPr="00B43339">
        <w:t>Таблиця 1 Вміст "малих" елементів у вугіллі</w:t>
      </w:r>
      <w:r>
        <w:t xml:space="preserve">, </w:t>
      </w:r>
      <w:r w:rsidRPr="00B43339">
        <w:t>г/т сухого палива [1</w:t>
      </w:r>
      <w:r>
        <w:t xml:space="preserve">, </w:t>
      </w:r>
      <w:r w:rsidRPr="00B43339">
        <w:t>2]</w:t>
      </w:r>
    </w:p>
    <w:p w:rsidR="00764793" w:rsidRPr="00B43339" w:rsidRDefault="00764793" w:rsidP="00764793">
      <w:pPr>
        <w:spacing w:before="120"/>
        <w:ind w:firstLine="567"/>
        <w:jc w:val="both"/>
      </w:pPr>
    </w:p>
    <w:tbl>
      <w:tblPr>
        <w:tblW w:w="5000" w:type="pct"/>
        <w:jc w:val="center"/>
        <w:tblCellSpacing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590"/>
        <w:gridCol w:w="1406"/>
        <w:gridCol w:w="1370"/>
        <w:gridCol w:w="1491"/>
        <w:gridCol w:w="1369"/>
        <w:gridCol w:w="1682"/>
      </w:tblGrid>
      <w:tr w:rsidR="00764793" w:rsidRPr="00B43339" w:rsidTr="006614DC">
        <w:trPr>
          <w:gridAfter w:val="5"/>
          <w:wAfter w:w="3612" w:type="pct"/>
          <w:trHeight w:val="276"/>
          <w:tblCellSpacing w:w="30" w:type="dxa"/>
          <w:jc w:val="center"/>
        </w:trPr>
        <w:tc>
          <w:tcPr>
            <w:tcW w:w="1292" w:type="pct"/>
            <w:vMerge w:val="restart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764793" w:rsidRPr="00B43339" w:rsidRDefault="00764793" w:rsidP="006614DC">
            <w:r w:rsidRPr="00B43339">
              <w:t>Елемент</w:t>
            </w:r>
          </w:p>
        </w:tc>
      </w:tr>
      <w:tr w:rsidR="00764793" w:rsidRPr="00B43339" w:rsidTr="006614DC">
        <w:trPr>
          <w:tblCellSpacing w:w="30" w:type="dxa"/>
          <w:jc w:val="center"/>
        </w:trPr>
        <w:tc>
          <w:tcPr>
            <w:tcW w:w="1292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4793" w:rsidRPr="00B43339" w:rsidRDefault="00764793" w:rsidP="006614DC"/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4793" w:rsidRPr="00B43339" w:rsidRDefault="00764793" w:rsidP="006614DC">
            <w:r w:rsidRPr="00B43339">
              <w:t>As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4793" w:rsidRPr="00B43339" w:rsidRDefault="00764793" w:rsidP="006614DC">
            <w:r w:rsidRPr="00B43339">
              <w:t>Be</w:t>
            </w:r>
          </w:p>
        </w:tc>
        <w:tc>
          <w:tcPr>
            <w:tcW w:w="7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4793" w:rsidRPr="00B43339" w:rsidRDefault="00764793" w:rsidP="006614DC">
            <w:r w:rsidRPr="00B43339">
              <w:t>Zn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4793" w:rsidRPr="00B43339" w:rsidRDefault="00764793" w:rsidP="006614DC">
            <w:r w:rsidRPr="00B43339">
              <w:t>Mo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64793" w:rsidRPr="00B43339" w:rsidRDefault="00764793" w:rsidP="006614DC">
            <w:r w:rsidRPr="00B43339">
              <w:t>Co</w:t>
            </w:r>
          </w:p>
        </w:tc>
      </w:tr>
      <w:tr w:rsidR="00764793" w:rsidRPr="00B43339" w:rsidTr="006614DC">
        <w:trPr>
          <w:tblCellSpacing w:w="30" w:type="dxa"/>
          <w:jc w:val="center"/>
        </w:trPr>
        <w:tc>
          <w:tcPr>
            <w:tcW w:w="129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4793" w:rsidRPr="00B43339" w:rsidRDefault="00764793" w:rsidP="006614DC">
            <w:r w:rsidRPr="00B43339">
              <w:t>Кларк для кам'яного вугілля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4793" w:rsidRPr="00B43339" w:rsidRDefault="00764793" w:rsidP="006614DC">
            <w:r w:rsidRPr="00B43339">
              <w:t>9</w:t>
            </w:r>
            <w:r>
              <w:t xml:space="preserve">, </w:t>
            </w:r>
            <w:r w:rsidRPr="00B43339">
              <w:t>0+/-0</w:t>
            </w:r>
            <w:r>
              <w:t xml:space="preserve">, </w:t>
            </w:r>
            <w:r w:rsidRPr="00B43339">
              <w:t>8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4793" w:rsidRPr="00B43339" w:rsidRDefault="00764793" w:rsidP="006614DC">
            <w:r w:rsidRPr="00B43339">
              <w:t>2+/-0</w:t>
            </w:r>
            <w:r>
              <w:t xml:space="preserve">, </w:t>
            </w:r>
            <w:r w:rsidRPr="00B43339">
              <w:t>1</w:t>
            </w:r>
          </w:p>
        </w:tc>
        <w:tc>
          <w:tcPr>
            <w:tcW w:w="7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4793" w:rsidRPr="00B43339" w:rsidRDefault="00764793" w:rsidP="006614DC">
            <w:r w:rsidRPr="00B43339">
              <w:t>29</w:t>
            </w:r>
            <w:r>
              <w:t xml:space="preserve">, </w:t>
            </w:r>
            <w:r w:rsidRPr="00B43339">
              <w:t>2+/-2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4793" w:rsidRPr="00B43339" w:rsidRDefault="00764793" w:rsidP="006614DC">
            <w:r w:rsidRPr="00B43339">
              <w:t>2+/-0</w:t>
            </w:r>
            <w:r>
              <w:t xml:space="preserve">, </w:t>
            </w:r>
            <w:r w:rsidRPr="00B43339">
              <w:t>1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64793" w:rsidRPr="00B43339" w:rsidRDefault="00764793" w:rsidP="006614DC">
            <w:r w:rsidRPr="00B43339">
              <w:t>6</w:t>
            </w:r>
            <w:r>
              <w:t xml:space="preserve">, </w:t>
            </w:r>
            <w:r w:rsidRPr="00B43339">
              <w:t>9+/-0</w:t>
            </w:r>
            <w:r>
              <w:t xml:space="preserve">, </w:t>
            </w:r>
            <w:r w:rsidRPr="00B43339">
              <w:t>2</w:t>
            </w:r>
          </w:p>
        </w:tc>
      </w:tr>
      <w:tr w:rsidR="00764793" w:rsidRPr="00B43339" w:rsidTr="006614DC">
        <w:trPr>
          <w:tblCellSpacing w:w="30" w:type="dxa"/>
          <w:jc w:val="center"/>
        </w:trPr>
        <w:tc>
          <w:tcPr>
            <w:tcW w:w="129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4793" w:rsidRPr="00B43339" w:rsidRDefault="00764793" w:rsidP="006614DC">
            <w:r w:rsidRPr="00B43339">
              <w:t>Зола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4793" w:rsidRPr="00B43339" w:rsidRDefault="00764793" w:rsidP="006614DC">
            <w:r w:rsidRPr="00B43339">
              <w:t>50+/-5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4793" w:rsidRPr="00B43339" w:rsidRDefault="00764793" w:rsidP="006614DC">
            <w:r w:rsidRPr="00B43339">
              <w:t>12+/-1</w:t>
            </w:r>
          </w:p>
        </w:tc>
        <w:tc>
          <w:tcPr>
            <w:tcW w:w="7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4793" w:rsidRPr="00B43339" w:rsidRDefault="00764793" w:rsidP="006614DC">
            <w:r w:rsidRPr="00B43339">
              <w:t>170+/-10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4793" w:rsidRPr="00B43339" w:rsidRDefault="00764793" w:rsidP="006614DC">
            <w:r w:rsidRPr="00B43339">
              <w:t>14+/-1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64793" w:rsidRPr="00B43339" w:rsidRDefault="00764793" w:rsidP="006614DC">
            <w:r w:rsidRPr="00B43339">
              <w:t>37+/-2</w:t>
            </w:r>
          </w:p>
        </w:tc>
      </w:tr>
      <w:tr w:rsidR="00764793" w:rsidRPr="00B43339" w:rsidTr="006614DC">
        <w:trPr>
          <w:tblCellSpacing w:w="30" w:type="dxa"/>
          <w:jc w:val="center"/>
        </w:trPr>
        <w:tc>
          <w:tcPr>
            <w:tcW w:w="129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4793" w:rsidRPr="00B43339" w:rsidRDefault="00764793" w:rsidP="006614DC">
            <w:r w:rsidRPr="00B43339">
              <w:t>Фоновий вміст у вугіллі колишнього СРСР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4793" w:rsidRPr="00B43339" w:rsidRDefault="00764793" w:rsidP="006614DC">
            <w:r w:rsidRPr="00B43339">
              <w:t>25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4793" w:rsidRPr="00B43339" w:rsidRDefault="00764793" w:rsidP="006614DC">
            <w:r w:rsidRPr="00B43339">
              <w:t>2</w:t>
            </w:r>
            <w:r>
              <w:t xml:space="preserve">, </w:t>
            </w:r>
            <w:r w:rsidRPr="00B43339">
              <w:t>5</w:t>
            </w:r>
          </w:p>
        </w:tc>
        <w:tc>
          <w:tcPr>
            <w:tcW w:w="7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4793" w:rsidRPr="00B43339" w:rsidRDefault="00764793" w:rsidP="006614DC">
            <w:r w:rsidRPr="00B43339">
              <w:t>35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4793" w:rsidRPr="00B43339" w:rsidRDefault="00764793" w:rsidP="006614DC">
            <w:r w:rsidRPr="00B43339">
              <w:t>2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64793" w:rsidRPr="00B43339" w:rsidRDefault="00764793" w:rsidP="006614DC">
            <w:r w:rsidRPr="00B43339">
              <w:t>5</w:t>
            </w:r>
          </w:p>
        </w:tc>
      </w:tr>
      <w:tr w:rsidR="00764793" w:rsidRPr="00B43339" w:rsidTr="006614DC">
        <w:trPr>
          <w:tblCellSpacing w:w="30" w:type="dxa"/>
          <w:jc w:val="center"/>
        </w:trPr>
        <w:tc>
          <w:tcPr>
            <w:tcW w:w="129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4793" w:rsidRPr="00B43339" w:rsidRDefault="00764793" w:rsidP="006614DC">
            <w:r w:rsidRPr="00B43339">
              <w:t>Фоновий вміст в горючих сланцях колишнього СРСР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4793" w:rsidRPr="00B43339" w:rsidRDefault="00764793" w:rsidP="006614DC">
            <w:r w:rsidRPr="00B43339">
              <w:t>30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4793" w:rsidRPr="00B43339" w:rsidRDefault="00764793" w:rsidP="006614DC">
            <w:r w:rsidRPr="00B43339">
              <w:t>0</w:t>
            </w:r>
            <w:r>
              <w:t xml:space="preserve">, </w:t>
            </w:r>
            <w:r w:rsidRPr="00B43339">
              <w:t>1</w:t>
            </w:r>
          </w:p>
        </w:tc>
        <w:tc>
          <w:tcPr>
            <w:tcW w:w="7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4793" w:rsidRPr="00B43339" w:rsidRDefault="00764793" w:rsidP="006614DC">
            <w:r w:rsidRPr="00B43339">
              <w:t>30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4793" w:rsidRPr="00B43339" w:rsidRDefault="00764793" w:rsidP="006614DC">
            <w:r w:rsidRPr="00B43339">
              <w:t>50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64793" w:rsidRPr="00B43339" w:rsidRDefault="00764793" w:rsidP="006614DC">
            <w:r w:rsidRPr="00B43339">
              <w:t>10</w:t>
            </w:r>
          </w:p>
        </w:tc>
      </w:tr>
      <w:tr w:rsidR="00764793" w:rsidRPr="00B43339" w:rsidTr="006614DC">
        <w:trPr>
          <w:tblCellSpacing w:w="30" w:type="dxa"/>
          <w:jc w:val="center"/>
        </w:trPr>
        <w:tc>
          <w:tcPr>
            <w:tcW w:w="129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4793" w:rsidRPr="00B43339" w:rsidRDefault="00764793" w:rsidP="006614DC">
            <w:r w:rsidRPr="00B43339">
              <w:t>Середній вміст у вугільних пластах шахти ім. В.М. Бажанова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4793" w:rsidRPr="00B43339" w:rsidRDefault="00764793" w:rsidP="006614DC">
            <w:r w:rsidRPr="00B43339">
              <w:t>70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4793" w:rsidRPr="00B43339" w:rsidRDefault="00764793" w:rsidP="006614DC">
            <w:r w:rsidRPr="00B43339">
              <w:t>50</w:t>
            </w:r>
          </w:p>
        </w:tc>
        <w:tc>
          <w:tcPr>
            <w:tcW w:w="7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4793" w:rsidRPr="00B43339" w:rsidRDefault="00764793" w:rsidP="006614DC">
            <w:r w:rsidRPr="00B43339">
              <w:t>50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4793" w:rsidRPr="00B43339" w:rsidRDefault="00764793" w:rsidP="006614DC">
            <w:r w:rsidRPr="00B43339">
              <w:t>3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64793" w:rsidRPr="00B43339" w:rsidRDefault="00764793" w:rsidP="006614DC">
            <w:r w:rsidRPr="00B43339">
              <w:t>20</w:t>
            </w:r>
          </w:p>
        </w:tc>
      </w:tr>
    </w:tbl>
    <w:p w:rsidR="00764793" w:rsidRPr="00B43339" w:rsidRDefault="00764793" w:rsidP="00764793">
      <w:pPr>
        <w:spacing w:before="120"/>
        <w:ind w:firstLine="567"/>
        <w:jc w:val="both"/>
      </w:pPr>
      <w:r w:rsidRPr="00B43339">
        <w:t>Розгледимо розподіл цих елементів в межах вугільних пластів шахтного поля: n1в</w:t>
      </w:r>
      <w:r>
        <w:t xml:space="preserve">, </w:t>
      </w:r>
      <w:r w:rsidRPr="00B43339">
        <w:t>n1н</w:t>
      </w:r>
      <w:r>
        <w:t xml:space="preserve">, </w:t>
      </w:r>
      <w:r w:rsidRPr="00B43339">
        <w:t>m9</w:t>
      </w:r>
      <w:r>
        <w:t xml:space="preserve">, </w:t>
      </w:r>
      <w:r w:rsidRPr="00B43339">
        <w:t>m7</w:t>
      </w:r>
      <w:r>
        <w:t xml:space="preserve">, </w:t>
      </w:r>
      <w:r w:rsidRPr="00B43339">
        <w:t>m63</w:t>
      </w:r>
      <w:r>
        <w:t xml:space="preserve">, </w:t>
      </w:r>
      <w:r w:rsidRPr="00B43339">
        <w:t>m62</w:t>
      </w:r>
      <w:r>
        <w:t xml:space="preserve">, </w:t>
      </w:r>
      <w:r w:rsidRPr="00B43339">
        <w:t>m51</w:t>
      </w:r>
      <w:r>
        <w:t xml:space="preserve">, </w:t>
      </w:r>
      <w:r w:rsidRPr="00B43339">
        <w:t>m3</w:t>
      </w:r>
      <w:r>
        <w:t xml:space="preserve">, </w:t>
      </w:r>
      <w:r w:rsidRPr="00B43339">
        <w:t xml:space="preserve">m2. </w:t>
      </w:r>
    </w:p>
    <w:p w:rsidR="00764793" w:rsidRPr="00B43339" w:rsidRDefault="00764793" w:rsidP="00764793">
      <w:pPr>
        <w:spacing w:before="120"/>
        <w:ind w:firstLine="567"/>
        <w:jc w:val="both"/>
      </w:pPr>
      <w:r w:rsidRPr="00B43339">
        <w:t>Миш'як відноситься до першого класу небезпеки</w:t>
      </w:r>
      <w:r>
        <w:t xml:space="preserve">, </w:t>
      </w:r>
      <w:r w:rsidRPr="00B43339">
        <w:t>є найбільш токсичним і небезпечним елементом. Практично у всіх вугільних пластах</w:t>
      </w:r>
      <w:r>
        <w:t xml:space="preserve">, </w:t>
      </w:r>
      <w:r w:rsidRPr="00B43339">
        <w:t>окрім m63</w:t>
      </w:r>
      <w:r>
        <w:t xml:space="preserve">, </w:t>
      </w:r>
      <w:r w:rsidRPr="00B43339">
        <w:t>концентрація As перевищує фоновий вміст в цілому по Донецько-макіївському району</w:t>
      </w:r>
      <w:r>
        <w:t xml:space="preserve">, </w:t>
      </w:r>
      <w:r w:rsidRPr="00B43339">
        <w:t>яке складає 80 г/т. В межах пластів n1в</w:t>
      </w:r>
      <w:r>
        <w:t xml:space="preserve">, </w:t>
      </w:r>
      <w:r w:rsidRPr="00B43339">
        <w:t>n1н концентрація елементу коливається від 70 до 100 г/т. Найбільш високий вміст As спостерігається в пластах m9 та m2. Концентрації в них змінюються в межах від 70 до 700 г/т</w:t>
      </w:r>
      <w:r>
        <w:t xml:space="preserve">, </w:t>
      </w:r>
      <w:r w:rsidRPr="00B43339">
        <w:t xml:space="preserve">що майже в 9 разів перевищує середній вміст елементу у вугіллі Донецько-макіївського вуглепромислового району. </w:t>
      </w:r>
    </w:p>
    <w:p w:rsidR="00764793" w:rsidRPr="00B43339" w:rsidRDefault="00764793" w:rsidP="00764793">
      <w:pPr>
        <w:spacing w:before="120"/>
        <w:ind w:firstLine="567"/>
        <w:jc w:val="both"/>
      </w:pPr>
      <w:r w:rsidRPr="00B43339">
        <w:t>Берилій також відноситься до першого класу небезпеки. Його галоїдні з'єднання легко мігрують і володіють високою токсичністю. Утворення підвищеного і високого вмісту Ве у вугіллі може бути пов'язане з його накопиченням на сорбционных бар'єрах. Проте</w:t>
      </w:r>
      <w:r>
        <w:t xml:space="preserve">, </w:t>
      </w:r>
      <w:r w:rsidRPr="00B43339">
        <w:t>переважно</w:t>
      </w:r>
      <w:r>
        <w:t xml:space="preserve">, </w:t>
      </w:r>
      <w:r w:rsidRPr="00B43339">
        <w:t>берилій пов'язаний з органічною речовиною вугілля</w:t>
      </w:r>
      <w:r>
        <w:t xml:space="preserve">, </w:t>
      </w:r>
      <w:r w:rsidRPr="00B43339">
        <w:t>а при низьких концентраціях – в істотному ступені з мінеральною (глинистою) часткою вугілля [2</w:t>
      </w:r>
      <w:r>
        <w:t xml:space="preserve">, </w:t>
      </w:r>
      <w:r w:rsidRPr="00B43339">
        <w:t>3]. В даному випадку в межах деяких вугільних пластів спостерігається вельми значна мінливість цього елементу. Середній вміст у вугіллі Донецько-макіївського району складає 3</w:t>
      </w:r>
      <w:r>
        <w:t xml:space="preserve">, </w:t>
      </w:r>
      <w:r w:rsidRPr="00B43339">
        <w:t>0 г/т. По пласту n1в концентрація змінюється від 1</w:t>
      </w:r>
      <w:r>
        <w:t xml:space="preserve">, </w:t>
      </w:r>
      <w:r w:rsidRPr="00B43339">
        <w:t>4 до 20 г/т; в межах n1н – від 0</w:t>
      </w:r>
      <w:r>
        <w:t xml:space="preserve">, </w:t>
      </w:r>
      <w:r w:rsidRPr="00B43339">
        <w:t>9 до 50 г/т. У решті вугільних пластів вмісту Ве відносно стабільні і варіюють в межах 0</w:t>
      </w:r>
      <w:r>
        <w:t xml:space="preserve">, </w:t>
      </w:r>
      <w:r w:rsidRPr="00B43339">
        <w:t>1 – 3 г/т. Проте в цілому розкид значень має досить широкий діапазон: мінімальне значення 0</w:t>
      </w:r>
      <w:r>
        <w:t xml:space="preserve">, </w:t>
      </w:r>
      <w:r w:rsidRPr="00B43339">
        <w:t>1 г/т</w:t>
      </w:r>
      <w:r>
        <w:t xml:space="preserve">, </w:t>
      </w:r>
      <w:r w:rsidRPr="00B43339">
        <w:t>максимальне</w:t>
      </w:r>
      <w:r>
        <w:t xml:space="preserve">, </w:t>
      </w:r>
      <w:r w:rsidRPr="00B43339">
        <w:t>– 50 г/т</w:t>
      </w:r>
      <w:r>
        <w:t xml:space="preserve">, </w:t>
      </w:r>
      <w:r w:rsidRPr="00B43339">
        <w:t>що в 16</w:t>
      </w:r>
      <w:r>
        <w:t xml:space="preserve">, </w:t>
      </w:r>
      <w:r w:rsidRPr="00B43339">
        <w:t xml:space="preserve">6 разів перевищує фоновий вміст. </w:t>
      </w:r>
    </w:p>
    <w:p w:rsidR="00764793" w:rsidRPr="00B43339" w:rsidRDefault="00764793" w:rsidP="00764793">
      <w:pPr>
        <w:spacing w:before="120"/>
        <w:ind w:firstLine="567"/>
        <w:jc w:val="both"/>
      </w:pPr>
      <w:r w:rsidRPr="00B43339">
        <w:t>Кобальт відноситься до другого класу небезпеки. Його концентрації у вугільних пластах</w:t>
      </w:r>
      <w:r>
        <w:t xml:space="preserve">, </w:t>
      </w:r>
      <w:r w:rsidRPr="00B43339">
        <w:t>за винятком деяких</w:t>
      </w:r>
      <w:r>
        <w:t xml:space="preserve">, </w:t>
      </w:r>
      <w:r w:rsidRPr="00B43339">
        <w:t>відносно стабільні і коливаються від 5 до 15 г/т. У пластах m62 і m2 взагалі не спостерігається перевищень щодо фонового вмісту у вугіллі Донецько-макіївського вуглепромислового району</w:t>
      </w:r>
      <w:r>
        <w:t xml:space="preserve">, </w:t>
      </w:r>
      <w:r w:rsidRPr="00B43339">
        <w:t>яке складає 7 г/т. Проте в межах пласта m3</w:t>
      </w:r>
      <w:r>
        <w:t xml:space="preserve">, </w:t>
      </w:r>
      <w:r w:rsidRPr="00B43339">
        <w:t>що розробляється</w:t>
      </w:r>
      <w:r>
        <w:t xml:space="preserve">, </w:t>
      </w:r>
      <w:r w:rsidRPr="00B43339">
        <w:t>присутній різкий стрибок концентрацій елементу від 5 до 30 г/т</w:t>
      </w:r>
      <w:r>
        <w:t xml:space="preserve">, </w:t>
      </w:r>
      <w:r w:rsidRPr="00B43339">
        <w:t>що в 4</w:t>
      </w:r>
      <w:r>
        <w:t xml:space="preserve">, </w:t>
      </w:r>
      <w:r w:rsidRPr="00B43339">
        <w:t xml:space="preserve">3 разу перевищує середній вміст по району. Завищені концентрації просліджуються практично у всіх пробах пласта m3. </w:t>
      </w:r>
    </w:p>
    <w:p w:rsidR="00764793" w:rsidRPr="00B43339" w:rsidRDefault="00764793" w:rsidP="00764793">
      <w:pPr>
        <w:spacing w:before="120"/>
        <w:ind w:firstLine="567"/>
        <w:jc w:val="both"/>
      </w:pPr>
      <w:r w:rsidRPr="00B43339">
        <w:t>Середній вміст молібдену у вугіллі Донецько-макіївського району складає 1</w:t>
      </w:r>
      <w:r>
        <w:t xml:space="preserve">, </w:t>
      </w:r>
      <w:r w:rsidRPr="00B43339">
        <w:t>5 г/т. У таких пластах як m7</w:t>
      </w:r>
      <w:r>
        <w:t xml:space="preserve">, </w:t>
      </w:r>
      <w:r w:rsidRPr="00B43339">
        <w:t>m62</w:t>
      </w:r>
      <w:r>
        <w:t xml:space="preserve">, </w:t>
      </w:r>
      <w:r w:rsidRPr="00B43339">
        <w:t>m51</w:t>
      </w:r>
      <w:r>
        <w:t xml:space="preserve">, </w:t>
      </w:r>
      <w:r w:rsidRPr="00B43339">
        <w:t>m3 не виявлене концентрацій</w:t>
      </w:r>
      <w:r>
        <w:t xml:space="preserve">, </w:t>
      </w:r>
      <w:r w:rsidRPr="00B43339">
        <w:t>що перевищують фонове значення (0</w:t>
      </w:r>
      <w:r>
        <w:t xml:space="preserve">, </w:t>
      </w:r>
      <w:r w:rsidRPr="00B43339">
        <w:t>5 – 1</w:t>
      </w:r>
      <w:r>
        <w:t xml:space="preserve">, </w:t>
      </w:r>
      <w:r w:rsidRPr="00B43339">
        <w:t>5 г/т). У решті вугільних пластів же максимальний вміст складає 3 г/т</w:t>
      </w:r>
      <w:r>
        <w:t xml:space="preserve">, </w:t>
      </w:r>
      <w:r w:rsidRPr="00B43339">
        <w:t>що в 2 рази вище за значення фону. Мінливість концентрацій</w:t>
      </w:r>
      <w:r>
        <w:t xml:space="preserve">, </w:t>
      </w:r>
      <w:r w:rsidRPr="00B43339">
        <w:t>в цілому</w:t>
      </w:r>
      <w:r>
        <w:t xml:space="preserve">, </w:t>
      </w:r>
      <w:r w:rsidRPr="00B43339">
        <w:t>не велика: мінімальне значення 0</w:t>
      </w:r>
      <w:r>
        <w:t xml:space="preserve">, </w:t>
      </w:r>
      <w:r w:rsidRPr="00B43339">
        <w:t>5 г/т</w:t>
      </w:r>
      <w:r>
        <w:t xml:space="preserve">, </w:t>
      </w:r>
      <w:r w:rsidRPr="00B43339">
        <w:t>максимальне</w:t>
      </w:r>
      <w:r>
        <w:t xml:space="preserve">, </w:t>
      </w:r>
      <w:r w:rsidRPr="00B43339">
        <w:t xml:space="preserve">– 3 г/т. </w:t>
      </w:r>
    </w:p>
    <w:p w:rsidR="00764793" w:rsidRPr="00B43339" w:rsidRDefault="00764793" w:rsidP="00764793">
      <w:pPr>
        <w:spacing w:before="120"/>
        <w:ind w:firstLine="567"/>
        <w:jc w:val="both"/>
      </w:pPr>
      <w:r w:rsidRPr="00B43339">
        <w:t>Цинк відноситься до першого класу небезпеки</w:t>
      </w:r>
      <w:r>
        <w:t xml:space="preserve">, </w:t>
      </w:r>
      <w:r w:rsidRPr="00B43339">
        <w:t>і також є токсичним елементом. У вугіллі і вугленосних формаціях Zn утворює підвищені концентрації зазвичай на сірководневих бар'єрах. Характер розподілу Zn у вугільній речовині дає підставу вважати</w:t>
      </w:r>
      <w:r>
        <w:t xml:space="preserve">, </w:t>
      </w:r>
      <w:r w:rsidRPr="00B43339">
        <w:t>що його накопичення у вугільних пластах носить эпигенетический характер. Відомі випадки освіти у вугіллі високого вмісту Zn гидротермального генезису</w:t>
      </w:r>
      <w:r>
        <w:t xml:space="preserve">, </w:t>
      </w:r>
      <w:r w:rsidRPr="00B43339">
        <w:t>на контакті карбонатних і вугленосних формацій [2</w:t>
      </w:r>
      <w:r>
        <w:t xml:space="preserve">, </w:t>
      </w:r>
      <w:r w:rsidRPr="00B43339">
        <w:t>3]. Середній вміст цинку у вугіллі Донецько-макіївського району відповідає 14 г/т. Завищені концентрації по окремих пробах</w:t>
      </w:r>
      <w:r>
        <w:t xml:space="preserve">, </w:t>
      </w:r>
      <w:r w:rsidRPr="00B43339">
        <w:t>щодо фону</w:t>
      </w:r>
      <w:r>
        <w:t xml:space="preserve">, </w:t>
      </w:r>
      <w:r w:rsidRPr="00B43339">
        <w:t>спостерігаються практично у всіх вугільних пластах шахтного поля</w:t>
      </w:r>
      <w:r>
        <w:t xml:space="preserve">, </w:t>
      </w:r>
      <w:r w:rsidRPr="00B43339">
        <w:t>окрім n1в</w:t>
      </w:r>
      <w:r>
        <w:t xml:space="preserve">, </w:t>
      </w:r>
      <w:r w:rsidRPr="00B43339">
        <w:t>особливо в межах m2. Мінімальне значення складає 10 г/т</w:t>
      </w:r>
      <w:r>
        <w:t xml:space="preserve">, </w:t>
      </w:r>
      <w:r w:rsidRPr="00B43339">
        <w:t>максимальне 50 г/т</w:t>
      </w:r>
      <w:r>
        <w:t xml:space="preserve">, </w:t>
      </w:r>
      <w:r w:rsidRPr="00B43339">
        <w:t>що в 3</w:t>
      </w:r>
      <w:r>
        <w:t xml:space="preserve">, </w:t>
      </w:r>
      <w:r w:rsidRPr="00B43339">
        <w:t xml:space="preserve">5 разу перевищує фонове значення по району. </w:t>
      </w:r>
    </w:p>
    <w:p w:rsidR="00764793" w:rsidRPr="00B43339" w:rsidRDefault="00764793" w:rsidP="00764793">
      <w:pPr>
        <w:spacing w:before="120"/>
        <w:ind w:firstLine="567"/>
        <w:jc w:val="both"/>
      </w:pPr>
      <w:r w:rsidRPr="00B43339">
        <w:t>Таким чином</w:t>
      </w:r>
      <w:r>
        <w:t xml:space="preserve">, </w:t>
      </w:r>
      <w:r w:rsidRPr="00B43339">
        <w:t>можна зробити вивід</w:t>
      </w:r>
      <w:r>
        <w:t xml:space="preserve">, </w:t>
      </w:r>
      <w:r w:rsidRPr="00B43339">
        <w:t>що промислові підприємства регіону</w:t>
      </w:r>
      <w:r>
        <w:t xml:space="preserve">, </w:t>
      </w:r>
      <w:r w:rsidRPr="00B43339">
        <w:t>зокрема енергетичного направлення</w:t>
      </w:r>
      <w:r>
        <w:t xml:space="preserve">, </w:t>
      </w:r>
      <w:r w:rsidRPr="00B43339">
        <w:t>використовують вугілля</w:t>
      </w:r>
      <w:r>
        <w:t xml:space="preserve">, </w:t>
      </w:r>
      <w:r w:rsidRPr="00B43339">
        <w:t>що іноді перевищує норми за змістом ряду малих</w:t>
      </w:r>
      <w:r>
        <w:t xml:space="preserve">, </w:t>
      </w:r>
      <w:r w:rsidRPr="00B43339">
        <w:t>а головне украй токсичних</w:t>
      </w:r>
      <w:r>
        <w:t xml:space="preserve">, </w:t>
      </w:r>
      <w:r w:rsidRPr="00B43339">
        <w:t>елементів. Ряд авторів (Германі</w:t>
      </w:r>
      <w:r>
        <w:t xml:space="preserve">, </w:t>
      </w:r>
      <w:r w:rsidRPr="00B43339">
        <w:t>Золлер і ін.) описали розподіл малих елементів в продуктах згорання вугілля</w:t>
      </w:r>
      <w:r>
        <w:t xml:space="preserve">, </w:t>
      </w:r>
      <w:r w:rsidRPr="00B43339">
        <w:t>засноване на їх точках кипіння і температурі фазових змін їх оксидів. Перша група елементів</w:t>
      </w:r>
      <w:r>
        <w:t xml:space="preserve">, </w:t>
      </w:r>
      <w:r w:rsidRPr="00B43339">
        <w:t>сконцентрованих в нижній золі або однаково розподілених між нижньою і леткою золою</w:t>
      </w:r>
      <w:r>
        <w:t xml:space="preserve">, </w:t>
      </w:r>
      <w:r w:rsidRPr="00B43339">
        <w:t>включає зазвичай литофильные елементи</w:t>
      </w:r>
      <w:r>
        <w:t xml:space="preserve"> - </w:t>
      </w:r>
      <w:r w:rsidRPr="00B43339">
        <w:t>Ba</w:t>
      </w:r>
      <w:r>
        <w:t xml:space="preserve">, </w:t>
      </w:r>
      <w:r w:rsidRPr="00B43339">
        <w:t>Мg і Mn</w:t>
      </w:r>
      <w:r>
        <w:t xml:space="preserve">, </w:t>
      </w:r>
      <w:r w:rsidRPr="00B43339">
        <w:t>друга група</w:t>
      </w:r>
      <w:r>
        <w:t xml:space="preserve"> - </w:t>
      </w:r>
      <w:r w:rsidRPr="00B43339">
        <w:t>зазвичай халькофильные елементи(As</w:t>
      </w:r>
      <w:r>
        <w:t xml:space="preserve">, </w:t>
      </w:r>
      <w:r w:rsidRPr="00B43339">
        <w:t>Cd</w:t>
      </w:r>
      <w:r>
        <w:t xml:space="preserve">, </w:t>
      </w:r>
      <w:r w:rsidRPr="00B43339">
        <w:t>Pb</w:t>
      </w:r>
      <w:r>
        <w:t xml:space="preserve">, </w:t>
      </w:r>
      <w:r w:rsidRPr="00B43339">
        <w:t>Se</w:t>
      </w:r>
      <w:r>
        <w:t xml:space="preserve">, </w:t>
      </w:r>
      <w:r w:rsidRPr="00B43339">
        <w:t>і Zn)</w:t>
      </w:r>
      <w:r>
        <w:t xml:space="preserve">, </w:t>
      </w:r>
      <w:r w:rsidRPr="00B43339">
        <w:t>третя</w:t>
      </w:r>
      <w:r>
        <w:t xml:space="preserve"> - </w:t>
      </w:r>
      <w:r w:rsidRPr="00B43339">
        <w:t>леткі елементи</w:t>
      </w:r>
      <w:r>
        <w:t xml:space="preserve">, </w:t>
      </w:r>
      <w:r w:rsidRPr="00B43339">
        <w:t>які залишаються в газоподібному достатку (Hg</w:t>
      </w:r>
      <w:r>
        <w:t xml:space="preserve">, </w:t>
      </w:r>
      <w:r w:rsidRPr="00B43339">
        <w:t>Br) [4</w:t>
      </w:r>
      <w:r>
        <w:t xml:space="preserve">, </w:t>
      </w:r>
      <w:r w:rsidRPr="00B43339">
        <w:t xml:space="preserve">5]. </w:t>
      </w:r>
    </w:p>
    <w:p w:rsidR="00764793" w:rsidRPr="00B43339" w:rsidRDefault="00764793" w:rsidP="00764793">
      <w:pPr>
        <w:spacing w:before="120"/>
        <w:ind w:firstLine="567"/>
        <w:jc w:val="both"/>
      </w:pPr>
      <w:r w:rsidRPr="00B43339">
        <w:t>Іншими словами</w:t>
      </w:r>
      <w:r>
        <w:t xml:space="preserve">, </w:t>
      </w:r>
      <w:r w:rsidRPr="00B43339">
        <w:t>проводиться масштабне комплексне забруднення токсичними елементами довколишніх територій</w:t>
      </w:r>
      <w:r>
        <w:t xml:space="preserve">, </w:t>
      </w:r>
      <w:r w:rsidRPr="00B43339">
        <w:t>по-друге</w:t>
      </w:r>
      <w:r>
        <w:t xml:space="preserve">, </w:t>
      </w:r>
      <w:r w:rsidRPr="00B43339">
        <w:t>використання такого вугілля в побутових цілях</w:t>
      </w:r>
      <w:r>
        <w:t xml:space="preserve">, </w:t>
      </w:r>
      <w:r w:rsidRPr="00B43339">
        <w:t>за відсутності належного контролю за якістю сировини</w:t>
      </w:r>
      <w:r>
        <w:t xml:space="preserve">, </w:t>
      </w:r>
      <w:r w:rsidRPr="00B43339">
        <w:t>що поставляється</w:t>
      </w:r>
      <w:r>
        <w:t xml:space="preserve">, </w:t>
      </w:r>
      <w:r w:rsidRPr="00B43339">
        <w:t>може в значній мірі впливати на здоров'ї населення. Слід враховувати</w:t>
      </w:r>
      <w:r>
        <w:t xml:space="preserve">, </w:t>
      </w:r>
      <w:r w:rsidRPr="00B43339">
        <w:t>що негативна дія малих елементів вугілля</w:t>
      </w:r>
      <w:r>
        <w:t xml:space="preserve">, </w:t>
      </w:r>
      <w:r w:rsidRPr="00B43339">
        <w:t>особливо токсичного</w:t>
      </w:r>
      <w:r>
        <w:t xml:space="preserve">, </w:t>
      </w:r>
      <w:r w:rsidRPr="00B43339">
        <w:t>виявляється</w:t>
      </w:r>
      <w:r>
        <w:t xml:space="preserve">, </w:t>
      </w:r>
      <w:r w:rsidRPr="00B43339">
        <w:t>ні в якому разі</w:t>
      </w:r>
      <w:r>
        <w:t xml:space="preserve">, </w:t>
      </w:r>
      <w:r w:rsidRPr="00B43339">
        <w:t>не миттєво</w:t>
      </w:r>
      <w:r>
        <w:t xml:space="preserve">, </w:t>
      </w:r>
      <w:r w:rsidRPr="00B43339">
        <w:t xml:space="preserve">це тривалий процес. </w:t>
      </w:r>
    </w:p>
    <w:p w:rsidR="00764793" w:rsidRPr="00B43339" w:rsidRDefault="00764793" w:rsidP="00764793">
      <w:pPr>
        <w:spacing w:before="120"/>
        <w:ind w:firstLine="567"/>
        <w:jc w:val="both"/>
      </w:pPr>
      <w:r w:rsidRPr="00B43339">
        <w:t>В межах поля шахти імені В.М. Бажанова окрім токсичних присутні потенційно токсичні елементи</w:t>
      </w:r>
      <w:r>
        <w:t xml:space="preserve">, </w:t>
      </w:r>
      <w:r w:rsidRPr="00B43339">
        <w:t>які не перевищують фонових значень по району. Проте їх вивчення також необхідне</w:t>
      </w:r>
      <w:r>
        <w:t xml:space="preserve">, </w:t>
      </w:r>
      <w:r w:rsidRPr="00B43339">
        <w:t>оскільки при переробці вугілля утворюються відходи виробництва</w:t>
      </w:r>
      <w:r>
        <w:t xml:space="preserve">, </w:t>
      </w:r>
      <w:r w:rsidRPr="00B43339">
        <w:t>які складуються і зберігаються на певних ділянках земної поверхні. І з часом</w:t>
      </w:r>
      <w:r>
        <w:t xml:space="preserve">, </w:t>
      </w:r>
      <w:r w:rsidRPr="00B43339">
        <w:t>потенційно токсичні елементи можуть перейти в токсичних</w:t>
      </w:r>
      <w:r>
        <w:t xml:space="preserve">, </w:t>
      </w:r>
      <w:r w:rsidRPr="00B43339">
        <w:t>за рахунок збільшення їх концентрацій в процесі накопичення і зберігання виробничих відходів. Таким прикладом можуть служити терикони</w:t>
      </w:r>
      <w:r>
        <w:t xml:space="preserve">, </w:t>
      </w:r>
      <w:r w:rsidRPr="00B43339">
        <w:t>де маса хімічних елементів є токсичними</w:t>
      </w:r>
      <w:r>
        <w:t xml:space="preserve">, </w:t>
      </w:r>
      <w:r w:rsidRPr="00B43339">
        <w:t>і перевищують не лише фонові значення Донецько-макіївського вуглепромислового району</w:t>
      </w:r>
      <w:r>
        <w:t xml:space="preserve">, </w:t>
      </w:r>
      <w:r w:rsidRPr="00B43339">
        <w:t xml:space="preserve">але і гранично допустимі концентрації. </w:t>
      </w:r>
    </w:p>
    <w:p w:rsidR="00764793" w:rsidRPr="00B43339" w:rsidRDefault="00764793" w:rsidP="00764793">
      <w:pPr>
        <w:spacing w:before="120"/>
        <w:ind w:firstLine="567"/>
        <w:jc w:val="both"/>
      </w:pPr>
      <w:r w:rsidRPr="00B43339">
        <w:t>На сьогоднішній день просторові дослідження вугільних пластів</w:t>
      </w:r>
      <w:r>
        <w:t xml:space="preserve">, </w:t>
      </w:r>
      <w:r w:rsidRPr="00B43339">
        <w:t>а також вміщаючих порід</w:t>
      </w:r>
      <w:r>
        <w:t xml:space="preserve">, </w:t>
      </w:r>
      <w:r w:rsidRPr="00B43339">
        <w:t>в цілях виявлення зон з підвищеною концентрацією екологічно небезпечних</w:t>
      </w:r>
      <w:r>
        <w:t xml:space="preserve"> - </w:t>
      </w:r>
      <w:r w:rsidRPr="00B43339">
        <w:t>токсичних</w:t>
      </w:r>
      <w:r>
        <w:t xml:space="preserve">, </w:t>
      </w:r>
      <w:r w:rsidRPr="00B43339">
        <w:t>потенційно токсичних</w:t>
      </w:r>
      <w:r>
        <w:t xml:space="preserve">, </w:t>
      </w:r>
      <w:r w:rsidRPr="00B43339">
        <w:t>технологічно шкідливих</w:t>
      </w:r>
      <w:r>
        <w:t xml:space="preserve"> - </w:t>
      </w:r>
      <w:r w:rsidRPr="00B43339">
        <w:t>компонентів дуже актуальні. Оперуючи даними</w:t>
      </w:r>
      <w:r>
        <w:t xml:space="preserve">, </w:t>
      </w:r>
      <w:r w:rsidRPr="00B43339">
        <w:t>отриманими у дослідженні розподілу елементів</w:t>
      </w:r>
      <w:r>
        <w:t xml:space="preserve">, </w:t>
      </w:r>
      <w:r w:rsidRPr="00B43339">
        <w:t>що вивчаються</w:t>
      </w:r>
      <w:r>
        <w:t xml:space="preserve">, </w:t>
      </w:r>
      <w:r w:rsidRPr="00B43339">
        <w:t>у вугіллі</w:t>
      </w:r>
      <w:r>
        <w:t xml:space="preserve">, </w:t>
      </w:r>
      <w:r w:rsidRPr="00B43339">
        <w:t>при розробці вугільних пластів є можливим прогнозування місця розташування зон корисної копалини з підвищеним вмістом екологічно небезпечних компонентів</w:t>
      </w:r>
      <w:r>
        <w:t xml:space="preserve">, </w:t>
      </w:r>
      <w:r w:rsidRPr="00B43339">
        <w:t>що дозволить робити необхідні заходи при використанні даного виду сировини в промисловості</w:t>
      </w:r>
      <w:r>
        <w:t xml:space="preserve">, </w:t>
      </w:r>
      <w:r w:rsidRPr="00B43339">
        <w:t>зокрема на ТЕС</w:t>
      </w:r>
      <w:r>
        <w:t xml:space="preserve">, </w:t>
      </w:r>
      <w:r w:rsidRPr="00B43339">
        <w:t>оскільки продукти переробки вугілля</w:t>
      </w:r>
      <w:r>
        <w:t xml:space="preserve">, </w:t>
      </w:r>
      <w:r w:rsidRPr="00B43339">
        <w:t>елементи-токсиканти</w:t>
      </w:r>
      <w:r>
        <w:t xml:space="preserve">, </w:t>
      </w:r>
      <w:r w:rsidRPr="00B43339">
        <w:t>що містять</w:t>
      </w:r>
      <w:r>
        <w:t xml:space="preserve">, </w:t>
      </w:r>
      <w:r w:rsidRPr="00B43339">
        <w:t>в концентраціях</w:t>
      </w:r>
      <w:r>
        <w:t xml:space="preserve">, </w:t>
      </w:r>
      <w:r w:rsidRPr="00B43339">
        <w:t>що перевищують норму</w:t>
      </w:r>
      <w:r>
        <w:t xml:space="preserve">, </w:t>
      </w:r>
      <w:r w:rsidRPr="00B43339">
        <w:t xml:space="preserve">роблять вельми несприятливий вплив на навколишнє середовище. </w:t>
      </w:r>
    </w:p>
    <w:p w:rsidR="00764793" w:rsidRPr="00B43339" w:rsidRDefault="00764793" w:rsidP="00764793">
      <w:pPr>
        <w:spacing w:before="120"/>
        <w:ind w:firstLine="567"/>
        <w:jc w:val="both"/>
      </w:pPr>
      <w:r w:rsidRPr="00B43339">
        <w:t>Таким чином</w:t>
      </w:r>
      <w:r>
        <w:t xml:space="preserve">, </w:t>
      </w:r>
      <w:r w:rsidRPr="00B43339">
        <w:t xml:space="preserve">при вивченні токсичних і потенційно токсичних елементів під час розвідки родовищ твердих палив мають бути поставлені наступні завдання: </w:t>
      </w:r>
    </w:p>
    <w:p w:rsidR="00764793" w:rsidRPr="00B43339" w:rsidRDefault="00764793" w:rsidP="00764793">
      <w:pPr>
        <w:spacing w:before="120"/>
        <w:ind w:firstLine="567"/>
        <w:jc w:val="both"/>
      </w:pPr>
      <w:r w:rsidRPr="00B43339">
        <w:t>1 Виявлення у вугіллі (горючих сланцях)</w:t>
      </w:r>
      <w:r>
        <w:t xml:space="preserve">, </w:t>
      </w:r>
      <w:r w:rsidRPr="00B43339">
        <w:t>породах</w:t>
      </w:r>
      <w:r>
        <w:t xml:space="preserve">, </w:t>
      </w:r>
      <w:r w:rsidRPr="00B43339">
        <w:t>що вміщають їх</w:t>
      </w:r>
      <w:r>
        <w:t xml:space="preserve">, </w:t>
      </w:r>
      <w:r w:rsidRPr="00B43339">
        <w:t>підземних і шахтних водах токсичних</w:t>
      </w:r>
      <w:r>
        <w:t xml:space="preserve">, </w:t>
      </w:r>
      <w:r w:rsidRPr="00B43339">
        <w:t xml:space="preserve">і потенційно токсичних елементів; </w:t>
      </w:r>
    </w:p>
    <w:p w:rsidR="00764793" w:rsidRPr="00B43339" w:rsidRDefault="00764793" w:rsidP="00764793">
      <w:pPr>
        <w:spacing w:before="120"/>
        <w:ind w:firstLine="567"/>
        <w:jc w:val="both"/>
      </w:pPr>
      <w:r w:rsidRPr="00B43339">
        <w:t>2 Оконтурювання майдану поширення вугілля (горючих сланців) з концентраціями токсичних елементів</w:t>
      </w:r>
      <w:r>
        <w:t xml:space="preserve">, </w:t>
      </w:r>
      <w:r w:rsidRPr="00B43339">
        <w:t>що представляють реальну небезпеку для забруднення навколишнього середовища з детальною</w:t>
      </w:r>
      <w:r>
        <w:t xml:space="preserve">, </w:t>
      </w:r>
      <w:r w:rsidRPr="00B43339">
        <w:t>що забезпечує окремий облік такого вугілля</w:t>
      </w:r>
      <w:r>
        <w:t xml:space="preserve">, </w:t>
      </w:r>
      <w:r w:rsidRPr="00B43339">
        <w:t xml:space="preserve">а також оцінку стійкості складу вод з вмістом шкідливих компонентів вище за ГДК; </w:t>
      </w:r>
    </w:p>
    <w:p w:rsidR="00764793" w:rsidRPr="00B43339" w:rsidRDefault="00764793" w:rsidP="00764793">
      <w:pPr>
        <w:spacing w:before="120"/>
        <w:ind w:firstLine="567"/>
        <w:jc w:val="both"/>
      </w:pPr>
      <w:r w:rsidRPr="00B43339">
        <w:t>3 Вивчення і оцінка умов забруднення атмосфери</w:t>
      </w:r>
      <w:r>
        <w:t xml:space="preserve">, </w:t>
      </w:r>
      <w:r w:rsidRPr="00B43339">
        <w:t>грунтів</w:t>
      </w:r>
      <w:r>
        <w:t xml:space="preserve">, </w:t>
      </w:r>
      <w:r w:rsidRPr="00B43339">
        <w:t>підземних і поверхневих вод токсичними елементами в об'ємі</w:t>
      </w:r>
      <w:r>
        <w:t xml:space="preserve">, </w:t>
      </w:r>
      <w:r w:rsidRPr="00B43339">
        <w:t xml:space="preserve">необхідному для розробки заходів щодо запобігання забрудненню. </w:t>
      </w:r>
    </w:p>
    <w:p w:rsidR="00764793" w:rsidRPr="008D5537" w:rsidRDefault="00764793" w:rsidP="00764793">
      <w:pPr>
        <w:spacing w:before="120"/>
        <w:jc w:val="center"/>
        <w:rPr>
          <w:b/>
          <w:sz w:val="28"/>
        </w:rPr>
      </w:pPr>
      <w:r w:rsidRPr="008D5537">
        <w:rPr>
          <w:b/>
          <w:sz w:val="28"/>
        </w:rPr>
        <w:t>Список литературы</w:t>
      </w:r>
    </w:p>
    <w:p w:rsidR="00764793" w:rsidRPr="00B43339" w:rsidRDefault="00764793" w:rsidP="00764793">
      <w:pPr>
        <w:spacing w:before="120"/>
        <w:ind w:firstLine="567"/>
        <w:jc w:val="both"/>
      </w:pPr>
      <w:r w:rsidRPr="00B43339">
        <w:t>1 Клер В.Р.</w:t>
      </w:r>
      <w:r>
        <w:t xml:space="preserve">, </w:t>
      </w:r>
      <w:r w:rsidRPr="00B43339">
        <w:t>В.Ф. Ненахова В.Ф.</w:t>
      </w:r>
      <w:r>
        <w:t xml:space="preserve">, </w:t>
      </w:r>
      <w:r w:rsidRPr="00B43339">
        <w:t xml:space="preserve">Шпирт М.Я. и др. Металлогения и геохимия угленосных и сланцсодержащих толщ СССР. Закономерности концентрации элементов и методы их изучения. </w:t>
      </w:r>
    </w:p>
    <w:p w:rsidR="00764793" w:rsidRPr="00B43339" w:rsidRDefault="00764793" w:rsidP="00764793">
      <w:pPr>
        <w:spacing w:before="120"/>
        <w:ind w:firstLine="567"/>
        <w:jc w:val="both"/>
      </w:pPr>
      <w:r w:rsidRPr="00B43339">
        <w:t>2 Юдович Я.Э.</w:t>
      </w:r>
      <w:r>
        <w:t xml:space="preserve">, </w:t>
      </w:r>
      <w:r w:rsidRPr="00B43339">
        <w:t xml:space="preserve">Кетрис М.П. Токсичные элементы-примеси в ископаемых углях. </w:t>
      </w:r>
    </w:p>
    <w:p w:rsidR="00764793" w:rsidRPr="00B43339" w:rsidRDefault="00764793" w:rsidP="00764793">
      <w:pPr>
        <w:spacing w:before="120"/>
        <w:ind w:firstLine="567"/>
        <w:jc w:val="both"/>
      </w:pPr>
      <w:r w:rsidRPr="00B43339">
        <w:t>3 Юдович Я.Э.</w:t>
      </w:r>
      <w:r>
        <w:t xml:space="preserve">, </w:t>
      </w:r>
      <w:r w:rsidRPr="00B43339">
        <w:t xml:space="preserve">Кетрис М. П. Неорганическая геохимия угля: аспекты теории. </w:t>
      </w:r>
    </w:p>
    <w:p w:rsidR="00764793" w:rsidRPr="00B43339" w:rsidRDefault="00764793" w:rsidP="00764793">
      <w:pPr>
        <w:spacing w:before="120"/>
        <w:ind w:firstLine="567"/>
        <w:jc w:val="both"/>
        <w:rPr>
          <w:lang w:val="en-US"/>
        </w:rPr>
      </w:pPr>
      <w:r w:rsidRPr="00B43339">
        <w:rPr>
          <w:lang w:val="en-US"/>
        </w:rPr>
        <w:t xml:space="preserve">4 Finkelman R. B. Modes of Occurrence of Trace Elements in Coal. </w:t>
      </w:r>
    </w:p>
    <w:p w:rsidR="00764793" w:rsidRPr="00B43339" w:rsidRDefault="00764793" w:rsidP="00764793">
      <w:pPr>
        <w:spacing w:before="120"/>
        <w:ind w:firstLine="567"/>
        <w:jc w:val="both"/>
        <w:rPr>
          <w:lang w:val="en-US"/>
        </w:rPr>
      </w:pPr>
      <w:r w:rsidRPr="00B43339">
        <w:rPr>
          <w:lang w:val="en-US"/>
        </w:rPr>
        <w:t xml:space="preserve">5 Kolker A., Finkelman R. B. Micro-scale Interfaces with Macro-scale Impacts: Determining the Micro-distribution of Trace Metals in Coal.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4793"/>
    <w:rsid w:val="00137787"/>
    <w:rsid w:val="001A35F6"/>
    <w:rsid w:val="006614DC"/>
    <w:rsid w:val="00764793"/>
    <w:rsid w:val="00811DD4"/>
    <w:rsid w:val="008B0453"/>
    <w:rsid w:val="008D5537"/>
    <w:rsid w:val="00B43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FF1C6AF-026A-4731-A959-32692B5B2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79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1542</Words>
  <Characters>8791</Characters>
  <Application>Microsoft Office Word</Application>
  <DocSecurity>0</DocSecurity>
  <Lines>73</Lines>
  <Paragraphs>20</Paragraphs>
  <ScaleCrop>false</ScaleCrop>
  <Company>Home</Company>
  <LinksUpToDate>false</LinksUpToDate>
  <CharactersWithSpaces>10313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Проблеми вивчення токсичних елементів</dc:title>
  <dc:subject/>
  <dc:creator>User</dc:creator>
  <cp:keywords/>
  <dc:description/>
  <cp:lastModifiedBy>Irina</cp:lastModifiedBy>
  <cp:revision>2</cp:revision>
  <dcterms:created xsi:type="dcterms:W3CDTF">2014-07-19T06:40:00Z</dcterms:created>
  <dcterms:modified xsi:type="dcterms:W3CDTF">2014-07-19T06:40:00Z</dcterms:modified>
</cp:coreProperties>
</file>