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62F" w:rsidRPr="00722EAC" w:rsidRDefault="0076162F" w:rsidP="0076162F">
      <w:pPr>
        <w:spacing w:before="120" w:after="100"/>
        <w:jc w:val="center"/>
        <w:rPr>
          <w:b/>
          <w:bCs/>
          <w:sz w:val="32"/>
          <w:szCs w:val="32"/>
        </w:rPr>
      </w:pPr>
      <w:r w:rsidRPr="00722EAC">
        <w:rPr>
          <w:b/>
          <w:bCs/>
          <w:sz w:val="32"/>
          <w:szCs w:val="32"/>
        </w:rPr>
        <w:t>Определение легколетучих элементов методом ЭТААС по технике дозирования суспензий образцов на никелевом модификаторе</w:t>
      </w:r>
    </w:p>
    <w:p w:rsidR="0076162F" w:rsidRPr="00722EAC" w:rsidRDefault="0076162F" w:rsidP="0076162F">
      <w:pPr>
        <w:spacing w:before="120" w:after="100"/>
        <w:jc w:val="center"/>
        <w:rPr>
          <w:sz w:val="28"/>
          <w:szCs w:val="28"/>
        </w:rPr>
      </w:pPr>
      <w:r w:rsidRPr="00722EAC">
        <w:rPr>
          <w:sz w:val="28"/>
          <w:szCs w:val="28"/>
        </w:rPr>
        <w:t>Каунова Анастасия Александровна</w:t>
      </w:r>
    </w:p>
    <w:p w:rsidR="0076162F" w:rsidRPr="00722EAC" w:rsidRDefault="0076162F" w:rsidP="0076162F">
      <w:pPr>
        <w:spacing w:before="120" w:after="100"/>
        <w:jc w:val="center"/>
        <w:rPr>
          <w:sz w:val="28"/>
          <w:szCs w:val="28"/>
        </w:rPr>
      </w:pPr>
      <w:r w:rsidRPr="00722EAC">
        <w:rPr>
          <w:sz w:val="28"/>
          <w:szCs w:val="28"/>
        </w:rPr>
        <w:t>Автореферат диссертации на соискание ученой степени  кандидата химических наук</w:t>
      </w:r>
    </w:p>
    <w:p w:rsidR="0076162F" w:rsidRPr="00722EAC" w:rsidRDefault="0076162F" w:rsidP="0076162F">
      <w:pPr>
        <w:spacing w:before="120" w:after="100"/>
        <w:jc w:val="center"/>
        <w:rPr>
          <w:sz w:val="28"/>
          <w:szCs w:val="28"/>
        </w:rPr>
      </w:pPr>
      <w:r w:rsidRPr="00722EAC">
        <w:rPr>
          <w:sz w:val="28"/>
          <w:szCs w:val="28"/>
        </w:rPr>
        <w:t>Краснодар 2006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Работа выполнена на кафедре аналитической химии</w:t>
      </w:r>
      <w:r>
        <w:t xml:space="preserve"> </w:t>
      </w:r>
      <w:r w:rsidRPr="004E2C72">
        <w:t>Кубанского государственного университета</w:t>
      </w:r>
    </w:p>
    <w:p w:rsidR="0076162F" w:rsidRPr="00722EAC" w:rsidRDefault="0076162F" w:rsidP="0076162F">
      <w:pPr>
        <w:spacing w:before="120" w:after="100"/>
        <w:jc w:val="center"/>
        <w:rPr>
          <w:b/>
          <w:bCs/>
          <w:sz w:val="28"/>
          <w:szCs w:val="28"/>
        </w:rPr>
      </w:pPr>
      <w:r w:rsidRPr="00722EAC">
        <w:rPr>
          <w:b/>
          <w:bCs/>
          <w:sz w:val="28"/>
          <w:szCs w:val="28"/>
        </w:rPr>
        <w:t>Общая характеристика работы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Актуальность темы. С интенсификацией</w:t>
      </w:r>
      <w:r>
        <w:t xml:space="preserve"> </w:t>
      </w:r>
      <w:r w:rsidRPr="004E2C72">
        <w:t>техногенного воздействия на окружающую среду повышаются требования к методам анализа природных объектов, стабильности работы методик и метрологическим параметрам результатов определений. Контроль содержания токсичных гидридобразующих элементов (As, Sb, Se, Te) в этих объектах</w:t>
      </w:r>
      <w:r>
        <w:t xml:space="preserve"> </w:t>
      </w:r>
      <w:r w:rsidRPr="004E2C72">
        <w:t>является актуальной и сложной задачей (низкий уровень содержаний, сложный матричный состав).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При анализе объектов с низкими содержаниями токсикантов широкое применение получил метод электротермической атомно-абсорбционной спектрометрии (ЭТААС) с различными вариантами концентрирования элементов.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Устранение погрешностей, связанных с преждевременным испарением легколетучих элементов на стадии термической обработки и влияниями компонентов матрицы, проводят путем введения химических модификаторов матрицы (различных металлов и их соединений) и оптимизации условий работы печи. Модифицирующими свойствами обладает также и углерод в различных его модификациях за счет возможной адсорбции и удерживания определяемых элементов при достаточно высоких температурах пиролиза. Поэтому целесообразным представляется поиск и исследование свойств смешанного химического сорбента-модификатора на основе активированного угля и никеля; изучение его аналитических характеристик в варианте прямого ЭТААС определения As, Se, Sb, Те и с предконцентрированием их гидридов.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Диссертационная работа выполнена при поддержке грантов РФФИ № 03-03-96529-р2003юг-а, 06-03-32257-а, 06-03-96608-р-юг-а.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Цель работы. Разработка и исследование аналитических схем электротермического атомно-абсорбционного определения As, Se, Sb, Те с использованием никелевых модификаторов на основе активированного угля и техники дозирования его суспензии в графитовую печь спектрометра.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Для достижения поставленной цели решались следующие задачи: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синтез и исследование физико-химических</w:t>
      </w:r>
      <w:r>
        <w:t xml:space="preserve"> </w:t>
      </w:r>
      <w:r w:rsidRPr="004E2C72">
        <w:t>свойств модификаторов на основе никеля (текстура, микроструктура, химическое состояние компонентов);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исследование термостабилизирующих свойств никельсодержащих композиций и оценка возможности их использования в качестве модификаторов матрицы для ЭТААС определения элементов в объектах со сложной матрицей;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кинетические и термодинамические исследования процессов, протекающих в графитовой печи, в присутствии никельсодержащего модификатора;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разработка методики прямого ЭТААС определения элементов в природной воде и растительных материалах с использованием никельсодержащего модификатора и техники дозирования суспензий;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разработка схемы анализа, включающей концентрирование гидридов элементов на никелевом сорбенте-модификаторе и последующее их ЭТААС определение по технике дозирования суспензии.</w:t>
      </w:r>
      <w:r>
        <w:t xml:space="preserve">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Научная новизна. Разработаны аналитические схемы ЭТААС определения элементов при использовании никельсодержащего сорбента-модификатора и техники дозирования суспензий.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Разработан никельсодержащий сорбент-модификатор на основе активированного угля для аналитических целей, получены данные об его структуре, модифицирующих и сорбционных свойствах.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Практическая значимость. Разработанные методики</w:t>
      </w:r>
      <w:r>
        <w:t xml:space="preserve"> </w:t>
      </w:r>
      <w:r w:rsidRPr="004E2C72">
        <w:t xml:space="preserve">ЭТААС определения As, Se, Sb и Те с использованием Ni-содержащего активированного угля апробированы при анализе растительных материалов, природной и водопроводной вод.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На защиту выносятся: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результаты синтеза и физико-химических исследований свойств Ni-содержащих материалов;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данные по модифицирующей эффективности никельсодержащих материалов по отношению к As, Se, Sb и Те;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результаты кинетических и термодинамических исследований процессов, протекающих в атомизаторе, в системах «определяемый элемент – никель-углеродный модификатор»;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новые схемы электротермического атомно-абсорбционного определения As, Se, Sb и Те в водах и растительных материалах.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Апробация работы. Материалы диссертации докладывались на Всероссийской конференции по аналитической химии «Аналитика России 2004» (Москва, 2004), III Международной конференции по новым технологиям и приложениям современных физико-химических методов для изучения окружающей среды (Ростов-на-Дону, 2005), XVII Уральской конференции по спектроскопии (Новоуральск, 2005), II Международном симпозиуме «Разделение и концентрирование в аналитической химии и радиохимии» (Краснодар, 2005), Международном конгрессе по аналитической химии (Москва, 2006), VII Европейском симпозиуме по электротермической атомно-абсорбционной спектрометрии (Санкт-Петербург, 2006).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Публикации. По материалам диссертационной работы опубликовано 13 работ, в том числе 6 статей.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Структура и объем работы. Диссертация состоит из введения, обзора литературы, трех глав экспериментальной части, выводов, списка цитируемой литературы, приложения. Материал диссертации изложен на 152 страницах текста, содержит 28 рисунков и 18 таблиц, в списке цитируемой литературы 137 наименований.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ОСНОВНОЕ СОДЕРЖАНИЕ РАБОТЫ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Обзор литературы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В литературном обзоре обобщены данные о применении различных групп химических модификаторов матрицы в современной электротермической атомно-абсорбционной спектрометрии при определении легколетучих элементов и для предварительного концентрирования элементов в виде их газообразных гидридов. Особое внимание уделено модификаторам на основе никеля, металлов платиновой группы, тугоплавких карбидов, органических модификаторов и углерода. Рассмотрены методы изучения механизмов действия модификаторов. Обсуждены достоинства и недостатки применения химических модификаторов в ЭТАСС.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Экспериментальная часть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Никельсодержащий активированный уголь (NiАУ) получали из активированного угля марки БАУ (ЗАО «Медисорб», г. Пермь) и растворов нитрата никеля. Были получены и изучены композиции никельсодержащего активированного уголь с различными содержаниями металла и синтезированные в различных условиях.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Исследование структурных свойств материалов проводили с использованием: установки низкотемпературной сорбции жидкого азота ASAP-2400 (Micromeritics, США); высокоразрешающего электронного микроскопа JEM-2010 (JEOL, Япония), укомплектованного EDX-спектрометром (энерго-дисперсионный рентгеновский фотоэлектронный)</w:t>
      </w:r>
      <w:r>
        <w:t xml:space="preserve"> </w:t>
      </w:r>
      <w:r w:rsidRPr="004E2C72">
        <w:t>с рентгеновским микрозондом; рентгенофотоэлектронного спектрометра ESCALAB HP (Vacuum Generator, Великобритания).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Для изучения свойств разработанного сорбента-модификатора в работе использован атомно-абсорбционный спектрометр SpectrAA-800 с дейтериевой коррекцией неселективного поглощения, блоком электротермической атомизации GTA-100 и автодозатором PSD-97 (все «Varian», Австралия), графитовые трубки с пиропокрытием, снабженные интегрированной платформой и ограничительными ободками по ее концам. В качестве источников резонансного излучения служили лампы с полым катодом на мышьяк и сурьму («Varian», Австралия), селен и теллур («Hitachi», Япония). Режимы работы спектрометра и программа атомизатора</w:t>
      </w:r>
      <w:r>
        <w:t xml:space="preserve"> </w:t>
      </w:r>
      <w:r w:rsidRPr="004E2C72">
        <w:t xml:space="preserve">приведены в табл.1.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Таблица 1 – Режимы работы спектрометра SpectrAA-800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и электротермического атомизатора GTA-100</w:t>
      </w:r>
    </w:p>
    <w:p w:rsidR="0076162F" w:rsidRPr="004E2C72" w:rsidRDefault="0076162F" w:rsidP="0076162F">
      <w:pPr>
        <w:spacing w:before="120" w:after="100"/>
        <w:ind w:firstLine="567"/>
        <w:jc w:val="both"/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9"/>
        <w:gridCol w:w="1498"/>
        <w:gridCol w:w="642"/>
        <w:gridCol w:w="1376"/>
        <w:gridCol w:w="1029"/>
        <w:gridCol w:w="619"/>
        <w:gridCol w:w="1691"/>
      </w:tblGrid>
      <w:tr w:rsidR="0076162F" w:rsidRPr="004E2C72" w:rsidTr="003D5B5F">
        <w:trPr>
          <w:trHeight w:val="322"/>
        </w:trPr>
        <w:tc>
          <w:tcPr>
            <w:tcW w:w="1522" w:type="pct"/>
            <w:vMerge w:val="restar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Параметр</w:t>
            </w:r>
          </w:p>
        </w:tc>
        <w:tc>
          <w:tcPr>
            <w:tcW w:w="3478" w:type="pct"/>
            <w:gridSpan w:val="6"/>
          </w:tcPr>
          <w:p w:rsidR="0076162F" w:rsidRPr="004E2C72" w:rsidRDefault="0076162F" w:rsidP="003D5B5F">
            <w:pPr>
              <w:spacing w:after="100"/>
            </w:pPr>
            <w:r w:rsidRPr="004E2C72">
              <w:t>Элемент</w:t>
            </w:r>
          </w:p>
        </w:tc>
      </w:tr>
      <w:tr w:rsidR="0076162F" w:rsidRPr="004E2C72" w:rsidTr="003D5B5F">
        <w:tc>
          <w:tcPr>
            <w:tcW w:w="1522" w:type="pct"/>
            <w:vMerge/>
          </w:tcPr>
          <w:p w:rsidR="0076162F" w:rsidRPr="004E2C72" w:rsidRDefault="0076162F" w:rsidP="003D5B5F">
            <w:pPr>
              <w:spacing w:after="100"/>
            </w:pPr>
          </w:p>
        </w:tc>
        <w:tc>
          <w:tcPr>
            <w:tcW w:w="760" w:type="pct"/>
          </w:tcPr>
          <w:p w:rsidR="0076162F" w:rsidRPr="004E2C72" w:rsidRDefault="0076162F" w:rsidP="003D5B5F">
            <w:pPr>
              <w:spacing w:after="100"/>
            </w:pPr>
            <w:r w:rsidRPr="004E2C72">
              <w:t>мышьяк</w:t>
            </w:r>
          </w:p>
        </w:tc>
        <w:tc>
          <w:tcPr>
            <w:tcW w:w="1024" w:type="pct"/>
            <w:gridSpan w:val="2"/>
          </w:tcPr>
          <w:p w:rsidR="0076162F" w:rsidRPr="004E2C72" w:rsidRDefault="0076162F" w:rsidP="003D5B5F">
            <w:pPr>
              <w:spacing w:after="100"/>
            </w:pPr>
            <w:r w:rsidRPr="004E2C72">
              <w:t>селен</w:t>
            </w:r>
          </w:p>
        </w:tc>
        <w:tc>
          <w:tcPr>
            <w:tcW w:w="836" w:type="pct"/>
            <w:gridSpan w:val="2"/>
          </w:tcPr>
          <w:p w:rsidR="0076162F" w:rsidRPr="004E2C72" w:rsidRDefault="0076162F" w:rsidP="003D5B5F">
            <w:pPr>
              <w:spacing w:after="100"/>
            </w:pPr>
            <w:r w:rsidRPr="004E2C72">
              <w:t>теллур</w:t>
            </w:r>
          </w:p>
        </w:tc>
        <w:tc>
          <w:tcPr>
            <w:tcW w:w="858" w:type="pct"/>
          </w:tcPr>
          <w:p w:rsidR="0076162F" w:rsidRPr="004E2C72" w:rsidRDefault="0076162F" w:rsidP="003D5B5F">
            <w:pPr>
              <w:spacing w:after="100"/>
            </w:pPr>
            <w:r w:rsidRPr="004E2C72">
              <w:t>сурьма</w:t>
            </w:r>
          </w:p>
        </w:tc>
      </w:tr>
      <w:tr w:rsidR="0076162F" w:rsidRPr="004E2C72" w:rsidTr="003D5B5F">
        <w:tc>
          <w:tcPr>
            <w:tcW w:w="1522" w:type="pct"/>
          </w:tcPr>
          <w:p w:rsidR="0076162F" w:rsidRPr="004E2C72" w:rsidRDefault="0076162F" w:rsidP="003D5B5F">
            <w:pPr>
              <w:spacing w:after="100"/>
            </w:pPr>
            <w:r w:rsidRPr="004E2C72">
              <w:t>Длина волны, нм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Щель, нм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Ток лампы, mA</w:t>
            </w:r>
          </w:p>
        </w:tc>
        <w:tc>
          <w:tcPr>
            <w:tcW w:w="760" w:type="pct"/>
          </w:tcPr>
          <w:p w:rsidR="0076162F" w:rsidRPr="004E2C72" w:rsidRDefault="0076162F" w:rsidP="003D5B5F">
            <w:pPr>
              <w:spacing w:after="100"/>
            </w:pPr>
            <w:r w:rsidRPr="004E2C72">
              <w:t>193,7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0,7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8,0</w:t>
            </w:r>
          </w:p>
        </w:tc>
        <w:tc>
          <w:tcPr>
            <w:tcW w:w="1024" w:type="pct"/>
            <w:gridSpan w:val="2"/>
          </w:tcPr>
          <w:p w:rsidR="0076162F" w:rsidRPr="004E2C72" w:rsidRDefault="0076162F" w:rsidP="003D5B5F">
            <w:pPr>
              <w:spacing w:after="100"/>
            </w:pPr>
            <w:r w:rsidRPr="004E2C72">
              <w:t>196,0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0,8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11,0</w:t>
            </w:r>
          </w:p>
        </w:tc>
        <w:tc>
          <w:tcPr>
            <w:tcW w:w="836" w:type="pct"/>
            <w:gridSpan w:val="2"/>
          </w:tcPr>
          <w:p w:rsidR="0076162F" w:rsidRPr="004E2C72" w:rsidRDefault="0076162F" w:rsidP="003D5B5F">
            <w:pPr>
              <w:spacing w:after="100"/>
            </w:pPr>
            <w:r w:rsidRPr="004E2C72">
              <w:t>214,3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0,2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8,0</w:t>
            </w:r>
          </w:p>
        </w:tc>
        <w:tc>
          <w:tcPr>
            <w:tcW w:w="858" w:type="pct"/>
          </w:tcPr>
          <w:p w:rsidR="0076162F" w:rsidRPr="004E2C72" w:rsidRDefault="0076162F" w:rsidP="003D5B5F">
            <w:pPr>
              <w:spacing w:after="100"/>
            </w:pPr>
            <w:r w:rsidRPr="004E2C72">
              <w:t>217,8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0,2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10,0</w:t>
            </w:r>
          </w:p>
        </w:tc>
      </w:tr>
      <w:tr w:rsidR="0076162F" w:rsidRPr="004E2C72" w:rsidTr="003D5B5F">
        <w:trPr>
          <w:trHeight w:val="491"/>
        </w:trPr>
        <w:tc>
          <w:tcPr>
            <w:tcW w:w="1522" w:type="pct"/>
            <w:tcBorders>
              <w:right w:val="nil"/>
            </w:tcBorders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Стадия</w:t>
            </w:r>
          </w:p>
        </w:tc>
        <w:tc>
          <w:tcPr>
            <w:tcW w:w="1086" w:type="pct"/>
            <w:gridSpan w:val="2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 xml:space="preserve">Темпера-тура, </w:t>
            </w:r>
            <w:r w:rsidRPr="004E2C72">
              <w:sym w:font="Symbol" w:char="F0B0"/>
            </w:r>
            <w:r w:rsidRPr="004E2C72">
              <w:t>С</w:t>
            </w:r>
          </w:p>
        </w:tc>
        <w:tc>
          <w:tcPr>
            <w:tcW w:w="1220" w:type="pct"/>
            <w:gridSpan w:val="2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Время выдержки, с</w:t>
            </w:r>
          </w:p>
        </w:tc>
        <w:tc>
          <w:tcPr>
            <w:tcW w:w="1172" w:type="pct"/>
            <w:gridSpan w:val="2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Поток газа, л/мин</w:t>
            </w:r>
          </w:p>
        </w:tc>
      </w:tr>
      <w:tr w:rsidR="0076162F" w:rsidRPr="004E2C72" w:rsidTr="003D5B5F">
        <w:trPr>
          <w:trHeight w:val="1191"/>
        </w:trPr>
        <w:tc>
          <w:tcPr>
            <w:tcW w:w="1522" w:type="pct"/>
            <w:tcBorders>
              <w:right w:val="nil"/>
            </w:tcBorders>
          </w:tcPr>
          <w:p w:rsidR="0076162F" w:rsidRPr="004E2C72" w:rsidRDefault="0076162F" w:rsidP="003D5B5F">
            <w:pPr>
              <w:spacing w:after="100"/>
            </w:pPr>
            <w:r w:rsidRPr="004E2C72">
              <w:t>Сушка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Термическая обработка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Атомизация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Очистка печи</w:t>
            </w:r>
          </w:p>
        </w:tc>
        <w:tc>
          <w:tcPr>
            <w:tcW w:w="1086" w:type="pct"/>
            <w:gridSpan w:val="2"/>
            <w:tcBorders>
              <w:right w:val="nil"/>
            </w:tcBorders>
          </w:tcPr>
          <w:p w:rsidR="0076162F" w:rsidRDefault="0076162F" w:rsidP="003D5B5F">
            <w:pPr>
              <w:spacing w:after="100"/>
            </w:pPr>
            <w:r w:rsidRPr="004E2C72">
              <w:t>120</w:t>
            </w:r>
            <w:r>
              <w:t xml:space="preserve"> 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150–1900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1700–2500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2600</w:t>
            </w:r>
          </w:p>
        </w:tc>
        <w:tc>
          <w:tcPr>
            <w:tcW w:w="1220" w:type="pct"/>
            <w:gridSpan w:val="2"/>
            <w:tcBorders>
              <w:left w:val="nil"/>
              <w:right w:val="nil"/>
            </w:tcBorders>
          </w:tcPr>
          <w:p w:rsidR="0076162F" w:rsidRDefault="0076162F" w:rsidP="003D5B5F">
            <w:pPr>
              <w:spacing w:after="100"/>
            </w:pPr>
            <w:r w:rsidRPr="004E2C72">
              <w:t>20,0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10,0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3,0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3,0</w:t>
            </w:r>
          </w:p>
        </w:tc>
        <w:tc>
          <w:tcPr>
            <w:tcW w:w="1172" w:type="pct"/>
            <w:gridSpan w:val="2"/>
            <w:tcBorders>
              <w:left w:val="nil"/>
            </w:tcBorders>
          </w:tcPr>
          <w:p w:rsidR="0076162F" w:rsidRDefault="0076162F" w:rsidP="003D5B5F">
            <w:pPr>
              <w:spacing w:after="100"/>
            </w:pPr>
            <w:r w:rsidRPr="004E2C72">
              <w:t>2,0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0,5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0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3,0</w:t>
            </w:r>
          </w:p>
        </w:tc>
      </w:tr>
    </w:tbl>
    <w:p w:rsidR="0076162F" w:rsidRDefault="0076162F" w:rsidP="0076162F">
      <w:pPr>
        <w:spacing w:before="120" w:after="100"/>
        <w:ind w:firstLine="567"/>
        <w:jc w:val="both"/>
      </w:pPr>
    </w:p>
    <w:p w:rsidR="0076162F" w:rsidRDefault="0076162F" w:rsidP="0076162F">
      <w:pPr>
        <w:spacing w:before="120" w:after="100"/>
        <w:ind w:firstLine="567"/>
        <w:jc w:val="both"/>
      </w:pPr>
      <w:r w:rsidRPr="004E2C72">
        <w:t>Физико-химические исследования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Основа из активированного угля характеризуется высоко развитой поверхностью частиц и поровым пространством, а также высокими</w:t>
      </w:r>
      <w:r>
        <w:t xml:space="preserve"> </w:t>
      </w:r>
      <w:r w:rsidRPr="004E2C72">
        <w:t>значениями объема и поверхности транспортных пор (мезопор) (табл. 2). Появление транспортных каналов способствует более активному взаимодействию материалов с определяемыми элементами и компонентами матрицы анализируемых проб.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Таблица 2 – Текстурные параметры разработанного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материала</w:t>
      </w:r>
    </w:p>
    <w:p w:rsidR="0076162F" w:rsidRPr="004E2C72" w:rsidRDefault="0076162F" w:rsidP="0076162F">
      <w:pPr>
        <w:spacing w:before="120" w:after="100"/>
        <w:ind w:firstLine="567"/>
        <w:jc w:val="both"/>
      </w:pPr>
    </w:p>
    <w:tbl>
      <w:tblPr>
        <w:tblStyle w:val="a4"/>
        <w:tblW w:w="5000" w:type="pct"/>
        <w:tblInd w:w="-113" w:type="dxa"/>
        <w:tblLook w:val="01E0" w:firstRow="1" w:lastRow="1" w:firstColumn="1" w:lastColumn="1" w:noHBand="0" w:noVBand="0"/>
      </w:tblPr>
      <w:tblGrid>
        <w:gridCol w:w="2086"/>
        <w:gridCol w:w="1295"/>
        <w:gridCol w:w="1295"/>
        <w:gridCol w:w="1295"/>
        <w:gridCol w:w="1295"/>
        <w:gridCol w:w="1295"/>
        <w:gridCol w:w="1293"/>
      </w:tblGrid>
      <w:tr w:rsidR="0076162F" w:rsidRPr="004E2C72" w:rsidTr="003D5B5F">
        <w:trPr>
          <w:tblHeader/>
        </w:trPr>
        <w:tc>
          <w:tcPr>
            <w:tcW w:w="1059" w:type="pct"/>
            <w:vMerge w:val="restar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Основа</w:t>
            </w:r>
          </w:p>
        </w:tc>
        <w:tc>
          <w:tcPr>
            <w:tcW w:w="3941" w:type="pct"/>
            <w:gridSpan w:val="6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Текстурные параметры</w:t>
            </w:r>
          </w:p>
        </w:tc>
      </w:tr>
      <w:tr w:rsidR="0076162F" w:rsidRPr="004E2C72" w:rsidTr="003D5B5F">
        <w:trPr>
          <w:tblHeader/>
        </w:trPr>
        <w:tc>
          <w:tcPr>
            <w:tcW w:w="1059" w:type="pct"/>
            <w:vMerge/>
            <w:vAlign w:val="center"/>
          </w:tcPr>
          <w:p w:rsidR="0076162F" w:rsidRPr="004E2C72" w:rsidRDefault="0076162F" w:rsidP="003D5B5F">
            <w:pPr>
              <w:spacing w:after="100"/>
            </w:pPr>
          </w:p>
        </w:tc>
        <w:tc>
          <w:tcPr>
            <w:tcW w:w="65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Σ S,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м2/г</w:t>
            </w:r>
          </w:p>
        </w:tc>
        <w:tc>
          <w:tcPr>
            <w:tcW w:w="657" w:type="pct"/>
            <w:vAlign w:val="center"/>
          </w:tcPr>
          <w:p w:rsidR="0076162F" w:rsidRDefault="0076162F" w:rsidP="003D5B5F">
            <w:pPr>
              <w:spacing w:after="100"/>
            </w:pPr>
            <w:r w:rsidRPr="004E2C72">
              <w:t>Sμ,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2/г</w:t>
            </w:r>
          </w:p>
        </w:tc>
        <w:tc>
          <w:tcPr>
            <w:tcW w:w="65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Sме,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м2/г</w:t>
            </w:r>
          </w:p>
        </w:tc>
        <w:tc>
          <w:tcPr>
            <w:tcW w:w="65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ΣV,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 xml:space="preserve">см3/г </w:t>
            </w:r>
          </w:p>
        </w:tc>
        <w:tc>
          <w:tcPr>
            <w:tcW w:w="65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Vμ,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см3/г</w:t>
            </w:r>
          </w:p>
        </w:tc>
        <w:tc>
          <w:tcPr>
            <w:tcW w:w="658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Vме,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см3/г</w:t>
            </w:r>
          </w:p>
        </w:tc>
      </w:tr>
      <w:tr w:rsidR="0076162F" w:rsidRPr="004E2C72" w:rsidTr="003D5B5F">
        <w:tc>
          <w:tcPr>
            <w:tcW w:w="1059" w:type="pct"/>
            <w:vAlign w:val="center"/>
          </w:tcPr>
          <w:p w:rsidR="0076162F" w:rsidRDefault="0076162F" w:rsidP="003D5B5F">
            <w:pPr>
              <w:spacing w:after="100"/>
            </w:pPr>
            <w:r w:rsidRPr="004E2C72">
              <w:t>Активиро-ванный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уголь</w:t>
            </w:r>
          </w:p>
        </w:tc>
        <w:tc>
          <w:tcPr>
            <w:tcW w:w="65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605</w:t>
            </w:r>
          </w:p>
        </w:tc>
        <w:tc>
          <w:tcPr>
            <w:tcW w:w="65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499</w:t>
            </w:r>
          </w:p>
        </w:tc>
        <w:tc>
          <w:tcPr>
            <w:tcW w:w="65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106</w:t>
            </w:r>
          </w:p>
        </w:tc>
        <w:tc>
          <w:tcPr>
            <w:tcW w:w="65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0,36</w:t>
            </w:r>
          </w:p>
        </w:tc>
        <w:tc>
          <w:tcPr>
            <w:tcW w:w="65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0,24</w:t>
            </w:r>
          </w:p>
        </w:tc>
        <w:tc>
          <w:tcPr>
            <w:tcW w:w="658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0,120</w:t>
            </w:r>
          </w:p>
        </w:tc>
      </w:tr>
    </w:tbl>
    <w:p w:rsidR="0076162F" w:rsidRPr="004E2C72" w:rsidRDefault="0076162F" w:rsidP="0076162F">
      <w:pPr>
        <w:spacing w:before="120" w:after="100"/>
        <w:ind w:firstLine="567"/>
        <w:jc w:val="both"/>
      </w:pPr>
    </w:p>
    <w:p w:rsidR="0076162F" w:rsidRDefault="0076162F" w:rsidP="0076162F">
      <w:pPr>
        <w:spacing w:before="120" w:after="100"/>
        <w:ind w:firstLine="567"/>
        <w:jc w:val="both"/>
      </w:pPr>
      <w:r w:rsidRPr="004E2C72">
        <w:t>В условиях оптимальных режимов синтеза модификатора добавка никелевого реагента существенно не изменяет текстурные характеристики исходной композиции.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 xml:space="preserve">Результаты исследований углеродной основы синтезированных материалов методом электронной микроскопии (рис.1 а), свидетельствуют о том, что она представляет собой графитизированный углеродный материал, состоящий из разупорядоченно агрегированных микрокристаллов размером порядка 2 нм.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Частицы никеля разнодисперсны: на некоторых участках носителя имеют малые размеры: 5–10 нм; а на других – большие: &gt;50 нм (рис.1б), причем, металл находится преимущественно в окисленном состоянии. Данные энерго-дисперсионного анализа</w:t>
      </w:r>
      <w:r>
        <w:t xml:space="preserve"> </w:t>
      </w:r>
      <w:r w:rsidRPr="004E2C72">
        <w:t>образцов показали, что основными компонентами синтезированного материала являются углерод, никель и кислород, а присутствие посторонних примесей: Mg, Si, Al, P, S, Cl, K, Ca незначительно.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а)</w:t>
      </w:r>
      <w:r>
        <w:t xml:space="preserve"> </w:t>
      </w:r>
      <w:r w:rsidRPr="004E2C72">
        <w:t>б)</w:t>
      </w:r>
    </w:p>
    <w:p w:rsidR="0076162F" w:rsidRPr="004E2C72" w:rsidRDefault="00171F28" w:rsidP="0076162F">
      <w:pPr>
        <w:spacing w:before="120" w:after="10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39.5pt">
            <v:imagedata r:id="rId4" o:title=""/>
          </v:shape>
        </w:pict>
      </w:r>
      <w:r w:rsidR="0076162F">
        <w:t xml:space="preserve"> </w:t>
      </w:r>
      <w:r>
        <w:pict>
          <v:shape id="_x0000_i1026" type="#_x0000_t75" style="width:154.5pt;height:113.25pt">
            <v:imagedata r:id="rId5" o:title=""/>
          </v:shape>
        </w:pic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углеродная (а) и никелевая (б) составляющие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Рисунок 1 – Строение никельсодержащего активированного угля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 xml:space="preserve">Максимальное содержание кислорода, а, следовательно, и окисленного углерода (~60%) наблюдается в никельсодержащем активированном угле, не подверженном температурной обработке (рис. 2А, табл.3), по сравнению с аналогичным </w:t>
      </w:r>
    </w:p>
    <w:p w:rsidR="0076162F" w:rsidRPr="004E2C72" w:rsidRDefault="00171F28" w:rsidP="0076162F">
      <w:pPr>
        <w:spacing w:before="120" w:after="100"/>
        <w:ind w:firstLine="567"/>
        <w:jc w:val="both"/>
      </w:pPr>
      <w:r>
        <w:pict>
          <v:shape id="_x0000_i1027" type="#_x0000_t75" style="width:102.75pt;height:126.75pt">
            <v:imagedata r:id="rId6" o:title=""/>
          </v:shape>
        </w:pict>
      </w:r>
      <w:r>
        <w:pict>
          <v:shape id="_x0000_i1028" type="#_x0000_t75" style="width:93.75pt;height:126.75pt">
            <v:imagedata r:id="rId7" o:title=""/>
          </v:shape>
        </w:pict>
      </w:r>
      <w:r>
        <w:pict>
          <v:shape id="_x0000_i1029" type="#_x0000_t75" style="width:96.75pt;height:126.75pt">
            <v:imagedata r:id="rId8" o:title=""/>
          </v:shape>
        </w:pic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(А) – углерод (C1s), (В) – кислород (O1s)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и (С) – никель (Ni2p)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Рисунок 2 – РФЭС спектры никельсодержащего активированного угля, не подверженного 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термической обработке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Таблица 3 – Химический состав поверхности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синтезированных материалов (СNi = 2%)</w:t>
      </w:r>
    </w:p>
    <w:p w:rsidR="0076162F" w:rsidRPr="004E2C72" w:rsidRDefault="0076162F" w:rsidP="0076162F">
      <w:pPr>
        <w:spacing w:before="120" w:after="100"/>
        <w:ind w:firstLine="567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606"/>
        <w:gridCol w:w="607"/>
        <w:gridCol w:w="607"/>
        <w:gridCol w:w="606"/>
        <w:gridCol w:w="607"/>
        <w:gridCol w:w="607"/>
        <w:gridCol w:w="607"/>
      </w:tblGrid>
      <w:tr w:rsidR="0076162F" w:rsidRPr="004E2C72" w:rsidTr="003D5B5F">
        <w:trPr>
          <w:cantSplit/>
          <w:trHeight w:val="264"/>
        </w:trPr>
        <w:tc>
          <w:tcPr>
            <w:tcW w:w="1800" w:type="dxa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Образец</w:t>
            </w:r>
          </w:p>
        </w:tc>
        <w:tc>
          <w:tcPr>
            <w:tcW w:w="4247" w:type="dxa"/>
            <w:gridSpan w:val="7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Концентрация элемента относительно углерода, ат.%</w:t>
            </w:r>
          </w:p>
        </w:tc>
      </w:tr>
      <w:tr w:rsidR="0076162F" w:rsidRPr="004E2C72" w:rsidTr="003D5B5F">
        <w:trPr>
          <w:cantSplit/>
          <w:trHeight w:val="264"/>
        </w:trPr>
        <w:tc>
          <w:tcPr>
            <w:tcW w:w="1800" w:type="dxa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</w:p>
        </w:tc>
        <w:tc>
          <w:tcPr>
            <w:tcW w:w="60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С</w:t>
            </w:r>
          </w:p>
        </w:tc>
        <w:tc>
          <w:tcPr>
            <w:tcW w:w="607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Cox</w:t>
            </w:r>
          </w:p>
        </w:tc>
        <w:tc>
          <w:tcPr>
            <w:tcW w:w="607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O</w:t>
            </w:r>
          </w:p>
        </w:tc>
        <w:tc>
          <w:tcPr>
            <w:tcW w:w="60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N</w:t>
            </w:r>
          </w:p>
        </w:tc>
        <w:tc>
          <w:tcPr>
            <w:tcW w:w="607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Ni</w:t>
            </w:r>
          </w:p>
        </w:tc>
        <w:tc>
          <w:tcPr>
            <w:tcW w:w="607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Ca</w:t>
            </w:r>
          </w:p>
        </w:tc>
        <w:tc>
          <w:tcPr>
            <w:tcW w:w="607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Mg</w:t>
            </w:r>
          </w:p>
        </w:tc>
      </w:tr>
      <w:tr w:rsidR="0076162F" w:rsidRPr="004E2C72" w:rsidTr="003D5B5F">
        <w:trPr>
          <w:trHeight w:val="264"/>
        </w:trPr>
        <w:tc>
          <w:tcPr>
            <w:tcW w:w="180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 xml:space="preserve">Ni-содержащий материал </w:t>
            </w:r>
          </w:p>
        </w:tc>
        <w:tc>
          <w:tcPr>
            <w:tcW w:w="60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100</w:t>
            </w:r>
          </w:p>
        </w:tc>
        <w:tc>
          <w:tcPr>
            <w:tcW w:w="607" w:type="dxa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58</w:t>
            </w:r>
          </w:p>
        </w:tc>
        <w:tc>
          <w:tcPr>
            <w:tcW w:w="607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57</w:t>
            </w:r>
          </w:p>
        </w:tc>
        <w:tc>
          <w:tcPr>
            <w:tcW w:w="60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1,3</w:t>
            </w:r>
          </w:p>
        </w:tc>
        <w:tc>
          <w:tcPr>
            <w:tcW w:w="607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2,7</w:t>
            </w:r>
          </w:p>
        </w:tc>
        <w:tc>
          <w:tcPr>
            <w:tcW w:w="607" w:type="dxa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0</w:t>
            </w:r>
          </w:p>
        </w:tc>
        <w:tc>
          <w:tcPr>
            <w:tcW w:w="607" w:type="dxa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0</w:t>
            </w:r>
          </w:p>
        </w:tc>
      </w:tr>
      <w:tr w:rsidR="0076162F" w:rsidRPr="004E2C72" w:rsidTr="003D5B5F">
        <w:trPr>
          <w:trHeight w:val="264"/>
        </w:trPr>
        <w:tc>
          <w:tcPr>
            <w:tcW w:w="180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 xml:space="preserve">Предварительно восстановленный Ni-содержащий материал </w:t>
            </w:r>
          </w:p>
        </w:tc>
        <w:tc>
          <w:tcPr>
            <w:tcW w:w="60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100</w:t>
            </w:r>
          </w:p>
        </w:tc>
        <w:tc>
          <w:tcPr>
            <w:tcW w:w="607" w:type="dxa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16</w:t>
            </w:r>
          </w:p>
        </w:tc>
        <w:tc>
          <w:tcPr>
            <w:tcW w:w="607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9</w:t>
            </w:r>
          </w:p>
        </w:tc>
        <w:tc>
          <w:tcPr>
            <w:tcW w:w="60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0</w:t>
            </w:r>
          </w:p>
        </w:tc>
        <w:tc>
          <w:tcPr>
            <w:tcW w:w="607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0,9</w:t>
            </w:r>
          </w:p>
        </w:tc>
        <w:tc>
          <w:tcPr>
            <w:tcW w:w="607" w:type="dxa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1,0</w:t>
            </w:r>
          </w:p>
        </w:tc>
        <w:tc>
          <w:tcPr>
            <w:tcW w:w="607" w:type="dxa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0,3</w:t>
            </w:r>
          </w:p>
        </w:tc>
      </w:tr>
    </w:tbl>
    <w:p w:rsidR="0076162F" w:rsidRPr="004E2C72" w:rsidRDefault="0076162F" w:rsidP="0076162F">
      <w:pPr>
        <w:spacing w:before="120" w:after="100"/>
        <w:ind w:firstLine="567"/>
        <w:jc w:val="both"/>
      </w:pP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материалом, прокаленным в атмосфере аргона при 600ºС (содержание Cox ≈ 15–16%) (табл. 3). Положение компонентов спектров 1Сs и форма линии О1s (рис. 2В) в основном определяется связями в группировках СО и СООН.</w:t>
      </w:r>
      <w:r>
        <w:t xml:space="preserve">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Данные РФЭС свидетельствуют о десятикратном преобладании металла в виде Ni2+ по сравнению с Ni0. Расположение основной компоненты Ni2p3/2 (~ 856 эВ)</w:t>
      </w:r>
      <w:r>
        <w:t xml:space="preserve"> </w:t>
      </w:r>
      <w:r w:rsidRPr="004E2C72">
        <w:t>во всех образцах соответствует соединениям типа Ni2O3</w:t>
      </w:r>
      <w:r>
        <w:t xml:space="preserve"> </w:t>
      </w:r>
      <w:r w:rsidRPr="004E2C72">
        <w:t xml:space="preserve">(рис. 2С). В образце, не подверженном термической обработке, присутствует в незначительном количестве нитрат никеля согласно расположению РФЭС линии азота (N1s). На стадии синтеза и высушивания модификатора-сорбента происходит практически полное разложение нитрата никеля до оксидных форм. В предварительно восстановленном образце содержание никеля в металлической форме невелико и составляет порядка 15%. Кроме того, в этом образце велика вероятность присутствия никеля в виде карбонила. Следует также отметить, что сопоставление данных РФЭС по содержанию никеля для образцов, синтезированных разными способами, (табл. 3) позволяет сделать вывод, что предварительное восстановление материала в инертной атмосфере приводит к объемному распределению никеля в частице активированного угля.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Таким образом, структурные и химические свойства исследованной композиции свидетельствуют об универсальном характере ожидаемого модифицирующего действия при ЭТААС определении легколетучих элементов V и VI группы периодической таблицы. Так, их взаимодействие с наиболее предпочтительной оксидной формой никеля начинается, по-видимому, уже в жидкой фазе при подготовке анализируемой суспензии и далее на стадии высушивания в графитовой печи. При последующей термической обработке системы следует ожидать образование тугоплавких соединений уже с восстановленным никелем (арсениты, теллуриты и т.п.). Кроме того, благодаря высоко развитой поверхности частиц и порового пространства можно предположить, что материал должен обладать сорбционными свойствами,</w:t>
      </w:r>
      <w:r>
        <w:t xml:space="preserve"> </w:t>
      </w:r>
      <w:r w:rsidRPr="004E2C72">
        <w:t>и тем самым будет эффективно решать проблему предварительного концентрирования элементов.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Модифицирующая эффективность никельсодержащего активированного угля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Сравнение атомизационных и пиролизационных зависимостей элементов в отсутствии модификатора, в присутствии раствора нитрата никеля, предварительно восстановленного металла и композиции на основе активированного угля (рис. 3) показало, что потери </w:t>
      </w:r>
    </w:p>
    <w:p w:rsidR="0076162F" w:rsidRPr="004E2C72" w:rsidRDefault="00171F28" w:rsidP="0076162F">
      <w:pPr>
        <w:spacing w:before="120" w:after="100"/>
        <w:ind w:firstLine="567"/>
        <w:jc w:val="both"/>
      </w:pPr>
      <w:r>
        <w:pict>
          <v:shape id="_x0000_i1030" type="#_x0000_t75" style="width:144.75pt;height:87.75pt">
            <v:imagedata r:id="rId9" o:title=""/>
          </v:shape>
        </w:pict>
      </w:r>
      <w:r>
        <w:pict>
          <v:shape id="_x0000_i1031" type="#_x0000_t75" style="width:155.25pt;height:90.75pt">
            <v:imagedata r:id="rId10" o:title=""/>
          </v:shape>
        </w:pict>
      </w:r>
    </w:p>
    <w:p w:rsidR="0076162F" w:rsidRDefault="00171F28" w:rsidP="0076162F">
      <w:pPr>
        <w:spacing w:before="120" w:after="100"/>
        <w:ind w:firstLine="567"/>
        <w:jc w:val="both"/>
      </w:pPr>
      <w:r>
        <w:pict>
          <v:shape id="_x0000_i1032" type="#_x0000_t75" style="width:153.75pt;height:94.5pt">
            <v:imagedata r:id="rId11" o:title=""/>
          </v:shape>
        </w:pict>
      </w:r>
      <w:r>
        <w:pict>
          <v:shape id="_x0000_i1033" type="#_x0000_t75" style="width:146.25pt;height:93.75pt">
            <v:imagedata r:id="rId12" o:title=""/>
          </v:shape>
        </w:pic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1 – в отсутствии модификатора, и в присутствии: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2 – раствора нитрата никеля, 3 – предварительно восстановленного в ГП никеля, 4 – никельсодержащего активированного угля и 5 – восстановленного в ГП</w:t>
      </w:r>
      <w:r>
        <w:t xml:space="preserve"> </w:t>
      </w:r>
      <w:r w:rsidRPr="004E2C72">
        <w:t>никельсодержащего активированного угля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Рисунок 3 – Пиролизационные и атомизационные зависимости мышьяка (а),</w:t>
      </w:r>
      <w:r>
        <w:t xml:space="preserve"> </w:t>
      </w:r>
      <w:r w:rsidRPr="004E2C72">
        <w:t>сурьмы (б),</w:t>
      </w:r>
      <w:r>
        <w:t xml:space="preserve"> </w:t>
      </w:r>
      <w:r w:rsidRPr="004E2C72">
        <w:t>теллура (в) и селена (г)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определяемых элементов в первом из перечисленных варианте происходили при самых низких температурах стадии термической обработки. Применение никельсодержащих модификаторов позволяет существенно повысить температуру пиролиза для всех исследуемых элементов. Композиция нитрат никеля – активированный уголь обеспечивает еще более высокие значения этого показателя и лучшую чувствительность определений (табл. 4) в сравнении с другими никелевыми модификаторами.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Следует отметить, что термическая стабильность селена (рис. 3г) несколько лучше в случае предварительно восстановленного никеля. При использовании раствора нитрата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Таблица 4 – Чувствительность ЭТААС определения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элементов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7"/>
        <w:gridCol w:w="821"/>
        <w:gridCol w:w="821"/>
        <w:gridCol w:w="821"/>
        <w:gridCol w:w="964"/>
      </w:tblGrid>
      <w:tr w:rsidR="0076162F" w:rsidRPr="004E2C72" w:rsidTr="003D5B5F">
        <w:trPr>
          <w:cantSplit/>
        </w:trPr>
        <w:tc>
          <w:tcPr>
            <w:tcW w:w="2777" w:type="dxa"/>
            <w:vMerge w:val="restart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Модификатор</w:t>
            </w:r>
          </w:p>
        </w:tc>
        <w:tc>
          <w:tcPr>
            <w:tcW w:w="3427" w:type="dxa"/>
            <w:gridSpan w:val="4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Характеристическая масса, пг</w:t>
            </w:r>
          </w:p>
        </w:tc>
      </w:tr>
      <w:tr w:rsidR="0076162F" w:rsidRPr="004E2C72" w:rsidTr="003D5B5F">
        <w:trPr>
          <w:cantSplit/>
        </w:trPr>
        <w:tc>
          <w:tcPr>
            <w:tcW w:w="2777" w:type="dxa"/>
            <w:vMerge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</w:p>
        </w:tc>
        <w:tc>
          <w:tcPr>
            <w:tcW w:w="82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As</w:t>
            </w:r>
          </w:p>
        </w:tc>
        <w:tc>
          <w:tcPr>
            <w:tcW w:w="82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Se</w:t>
            </w:r>
          </w:p>
        </w:tc>
        <w:tc>
          <w:tcPr>
            <w:tcW w:w="82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Sb</w:t>
            </w:r>
          </w:p>
        </w:tc>
        <w:tc>
          <w:tcPr>
            <w:tcW w:w="964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Te</w:t>
            </w:r>
          </w:p>
        </w:tc>
      </w:tr>
      <w:tr w:rsidR="0076162F" w:rsidRPr="004E2C72" w:rsidTr="003D5B5F">
        <w:trPr>
          <w:cantSplit/>
          <w:trHeight w:val="1536"/>
        </w:trPr>
        <w:tc>
          <w:tcPr>
            <w:tcW w:w="2777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Без модификатора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Раствор нитрата никеля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Предварительно восста-новленный никель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Никельсодержащий активированный уголь</w:t>
            </w:r>
          </w:p>
        </w:tc>
        <w:tc>
          <w:tcPr>
            <w:tcW w:w="82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17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19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11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12</w:t>
            </w:r>
          </w:p>
        </w:tc>
        <w:tc>
          <w:tcPr>
            <w:tcW w:w="82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31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25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29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27</w:t>
            </w:r>
          </w:p>
        </w:tc>
        <w:tc>
          <w:tcPr>
            <w:tcW w:w="82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19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22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22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17</w:t>
            </w:r>
          </w:p>
        </w:tc>
        <w:tc>
          <w:tcPr>
            <w:tcW w:w="964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15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15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22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16</w:t>
            </w:r>
          </w:p>
        </w:tc>
      </w:tr>
    </w:tbl>
    <w:p w:rsidR="0076162F" w:rsidRPr="004E2C72" w:rsidRDefault="0076162F" w:rsidP="0076162F">
      <w:pPr>
        <w:spacing w:before="120" w:after="100"/>
        <w:ind w:firstLine="567"/>
        <w:jc w:val="both"/>
      </w:pP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никеля и никельсодержащего активированного угля на пиролизационных зависимостях селена наблюдается минимум в районе 500–700</w:t>
      </w:r>
      <w:r w:rsidRPr="004E2C72">
        <w:sym w:font="Symbol" w:char="F0B0"/>
      </w:r>
      <w:r w:rsidRPr="004E2C72">
        <w:t>С. Это, по-видимому, связано с испарением элементарного селена за счет восстановления углеродом оксидных форм никеля до металла и выхода в газовую фазу печи продуктов взаимодействия. Использование процедуры предварительной термической обработки в графитовой печи никельсодержащего активированного угля позволяет достичь той же термической стабильности, что и в случае предварительно восстановленного раствора нитрата никеля.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Полученные результаты показывают, что при взаимодействии никельсодержащего активированного угля с аналитом происходит совмещение действия в конденсированном состоянии двух компонентов:</w:t>
      </w:r>
      <w:r>
        <w:t xml:space="preserve"> </w:t>
      </w:r>
      <w:r w:rsidRPr="004E2C72">
        <w:t>никеля и углеродсодержащего материала.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Изучение влияния массы никеля, вносимой в атомизатор, на величину аналитического сигнала элементов показало (рис. 4), что в случае внесения раствора нитрата никеля требуется 0,5–1,0 мкг никеля для стабилизации элементов, а в случае никельсодержащего активированного угля достаточно 0,1 мкг никеля. Дальнейшее увеличение массы вносимого в графитовую печь никеля не приводит к увеличению аналитического сигнала (для As и Sb наблюдается монотонное уменьшение сигнала, начиная с 4 мкг).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Наши исследования показали, что эффективная термостабилизация аналитов в графитовой печи в присутствии </w:t>
      </w:r>
    </w:p>
    <w:p w:rsidR="0076162F" w:rsidRPr="004E2C72" w:rsidRDefault="00171F28" w:rsidP="0076162F">
      <w:pPr>
        <w:spacing w:before="120" w:after="100"/>
        <w:ind w:firstLine="567"/>
        <w:jc w:val="both"/>
      </w:pPr>
      <w:r>
        <w:pict>
          <v:shape id="_x0000_i1034" type="#_x0000_t75" style="width:147.75pt;height:98.25pt">
            <v:imagedata r:id="rId13" o:title=""/>
          </v:shape>
        </w:pict>
      </w:r>
      <w:r>
        <w:pict>
          <v:shape id="_x0000_i1035" type="#_x0000_t75" style="width:132pt;height:99pt">
            <v:imagedata r:id="rId14" o:title=""/>
          </v:shape>
        </w:pic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(а) – никельсодержащий активированный уголь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и (б) – раствор нитрата никеля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 xml:space="preserve">Рисунок 4 – Влияние никеля на аналитический сигнал элементов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сорбента-модификатора достигается при соотношении масс никель/аналит, равном ~102, что на порядок меньше по сравнению с раствором нитрата никеля.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Эффективность модификатора матрицы также существенно зависит</w:t>
      </w:r>
      <w:r>
        <w:t xml:space="preserve"> </w:t>
      </w:r>
      <w:r w:rsidRPr="004E2C72">
        <w:t>от возможности проведения определения элементов в присутствии мешающих компонентов. Изучение зависимостей АС элементов при этих условиях показало, что присутствие хлорид-ионов практически не влияет на АС мышьяка и сурьмы, в случае селена и теллура наблюдается незначительное снижение сигналов, до 5% относительно, в присутствии хлорид-ионов в количестве 1,0 г/л и более. Карбонат-ионы незначительно повышают АС элементов. В случае теллура происходит небольшое снижение АС. Присутствие сульфат-ионов в незначительных количествах приводит к снижению АС. Такая же закономерность наблюдается и для широко используемого модификатора: смеси нитратов палладия и магния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Сравнительный анализ</w:t>
      </w:r>
      <w:r>
        <w:t xml:space="preserve"> </w:t>
      </w:r>
      <w:r w:rsidRPr="004E2C72">
        <w:t>свойств модификатора на основе Pd(NO3)2+Mg(NO3)2 с никельсодержащим активированным углем показал, что разработанная нами композиция не уступает, а по некоторым показателя и превосходит «универсальный» палладий-магниевый модификатор (табл. 5).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Таблица 5 – Модифицирующие свойства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никельсодержащего активированного угля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и смеси нитратов палладия и магния</w:t>
      </w:r>
    </w:p>
    <w:p w:rsidR="0076162F" w:rsidRPr="004E2C72" w:rsidRDefault="0076162F" w:rsidP="0076162F">
      <w:pPr>
        <w:spacing w:before="120" w:after="100"/>
        <w:ind w:firstLine="567"/>
        <w:jc w:val="both"/>
      </w:pPr>
    </w:p>
    <w:tbl>
      <w:tblPr>
        <w:tblStyle w:val="a4"/>
        <w:tblW w:w="6204" w:type="dxa"/>
        <w:tblInd w:w="-113" w:type="dxa"/>
        <w:tblLook w:val="01E0" w:firstRow="1" w:lastRow="1" w:firstColumn="1" w:lastColumn="1" w:noHBand="0" w:noVBand="0"/>
      </w:tblPr>
      <w:tblGrid>
        <w:gridCol w:w="1660"/>
        <w:gridCol w:w="1310"/>
        <w:gridCol w:w="1310"/>
        <w:gridCol w:w="1310"/>
        <w:gridCol w:w="1310"/>
      </w:tblGrid>
      <w:tr w:rsidR="0076162F" w:rsidRPr="004E2C72" w:rsidTr="003D5B5F">
        <w:tc>
          <w:tcPr>
            <w:tcW w:w="1242" w:type="dxa"/>
            <w:vMerge w:val="restart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Элемент</w:t>
            </w:r>
          </w:p>
        </w:tc>
        <w:tc>
          <w:tcPr>
            <w:tcW w:w="2481" w:type="dxa"/>
            <w:gridSpan w:val="2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Pd(NO3)2 + Mg(NO3)2</w:t>
            </w:r>
          </w:p>
        </w:tc>
        <w:tc>
          <w:tcPr>
            <w:tcW w:w="2481" w:type="dxa"/>
            <w:gridSpan w:val="2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Ni(NO3)2 + C</w:t>
            </w:r>
          </w:p>
        </w:tc>
      </w:tr>
      <w:tr w:rsidR="0076162F" w:rsidRPr="004E2C72" w:rsidTr="003D5B5F">
        <w:tc>
          <w:tcPr>
            <w:tcW w:w="1242" w:type="dxa"/>
            <w:vMerge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</w:p>
        </w:tc>
        <w:tc>
          <w:tcPr>
            <w:tcW w:w="1240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ТТО, ºС</w:t>
            </w:r>
          </w:p>
        </w:tc>
        <w:tc>
          <w:tcPr>
            <w:tcW w:w="124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ТАТ, ºС</w:t>
            </w:r>
          </w:p>
        </w:tc>
        <w:tc>
          <w:tcPr>
            <w:tcW w:w="1240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ТТО, ºС</w:t>
            </w:r>
          </w:p>
        </w:tc>
        <w:tc>
          <w:tcPr>
            <w:tcW w:w="124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ТАТ, ºС</w:t>
            </w:r>
          </w:p>
        </w:tc>
      </w:tr>
      <w:tr w:rsidR="0076162F" w:rsidRPr="004E2C72" w:rsidTr="003D5B5F">
        <w:tc>
          <w:tcPr>
            <w:tcW w:w="1242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As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Te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Sb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Se</w:t>
            </w:r>
          </w:p>
        </w:tc>
        <w:tc>
          <w:tcPr>
            <w:tcW w:w="1240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1200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700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1200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1100</w:t>
            </w:r>
          </w:p>
        </w:tc>
        <w:tc>
          <w:tcPr>
            <w:tcW w:w="124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2300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2300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2400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2300</w:t>
            </w:r>
          </w:p>
        </w:tc>
        <w:tc>
          <w:tcPr>
            <w:tcW w:w="1240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1500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1300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1400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1200</w:t>
            </w:r>
          </w:p>
        </w:tc>
        <w:tc>
          <w:tcPr>
            <w:tcW w:w="1241" w:type="dxa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2300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2000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2200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2200</w:t>
            </w:r>
          </w:p>
        </w:tc>
      </w:tr>
    </w:tbl>
    <w:p w:rsidR="0076162F" w:rsidRPr="004E2C72" w:rsidRDefault="0076162F" w:rsidP="0076162F">
      <w:pPr>
        <w:spacing w:before="120" w:after="100"/>
        <w:ind w:firstLine="567"/>
        <w:jc w:val="both"/>
      </w:pP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Термодинамические исследования термохимических процессов, протекающих в атомизаторе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Расчеты многокомпонентного высокотемпературного гетерогенного равновесия проведены при давлении 1 атм в диапазоне температур 100–1900оС с помощью программы HSC-4 (Chemical Reaction and Equilibrium Software with Extensive Thermochemical Database. Version 4.0. Outokumpu Research Oy Information Service. Finland), имеющей собственный банк термодинамических свойств индивидуальных веществ*. При этом учитывали вероятность образования в термохимических процессах потенциально возможных, при данных температурах, газообразных и конденсированных индивидуальных веществ (табл. 6) и условия идеального перемешивания и контакта всех компонентов исследованных систем.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Мышьяк.</w:t>
      </w:r>
      <w:r>
        <w:t xml:space="preserve"> </w:t>
      </w:r>
      <w:r w:rsidRPr="004E2C72">
        <w:t xml:space="preserve">Конденсированные оксиды мышьяка уже при низких температурах восстанавливаются до элементарного мышьяка. Это обеспечивает возможность образования разбавленного конденсированного раствора мышьяка с металлическим никелем и углеродом и задержку термического испарения мышьяка до температур 1200оС. После этих температур начинается переход As в газовую фазу в атомарном виде и, в незначительном количестве, в виде AsO(Г) (рис. 5а).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*Расчеты проводились и обсуждались с участием профессора</w:t>
      </w:r>
      <w:r>
        <w:t xml:space="preserve"> </w:t>
      </w:r>
      <w:r w:rsidRPr="004E2C72">
        <w:t>Пупышева А.А. (УГТУ-УПИ, г. Екатеринбург)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Таблица 6 – Параметры исследованных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термодинамических систем </w:t>
      </w:r>
    </w:p>
    <w:tbl>
      <w:tblPr>
        <w:tblpPr w:leftFromText="180" w:rightFromText="180" w:vertAnchor="text" w:horzAnchor="margin" w:tblpY="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2"/>
        <w:gridCol w:w="2839"/>
        <w:gridCol w:w="2700"/>
        <w:gridCol w:w="2353"/>
      </w:tblGrid>
      <w:tr w:rsidR="0076162F" w:rsidRPr="004E2C72" w:rsidTr="003D5B5F">
        <w:tc>
          <w:tcPr>
            <w:tcW w:w="995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 xml:space="preserve">Исследуе-мые 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системы</w:t>
            </w:r>
          </w:p>
        </w:tc>
        <w:tc>
          <w:tcPr>
            <w:tcW w:w="1440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Исходный заданный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состав, моль</w:t>
            </w:r>
          </w:p>
        </w:tc>
        <w:tc>
          <w:tcPr>
            <w:tcW w:w="1370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Конденсирован-ные вещества</w:t>
            </w:r>
          </w:p>
        </w:tc>
        <w:tc>
          <w:tcPr>
            <w:tcW w:w="1194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Максималь-ные температуры пиролиза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эксп./расчет, оС</w:t>
            </w:r>
          </w:p>
        </w:tc>
      </w:tr>
      <w:tr w:rsidR="0076162F" w:rsidRPr="004E2C72" w:rsidTr="003D5B5F">
        <w:tc>
          <w:tcPr>
            <w:tcW w:w="995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NiАУ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с мышьяком</w:t>
            </w:r>
          </w:p>
        </w:tc>
        <w:tc>
          <w:tcPr>
            <w:tcW w:w="1440" w:type="pct"/>
            <w:vAlign w:val="center"/>
          </w:tcPr>
          <w:p w:rsidR="0076162F" w:rsidRDefault="0076162F" w:rsidP="003D5B5F">
            <w:pPr>
              <w:spacing w:after="100"/>
            </w:pPr>
            <w:r w:rsidRPr="004E2C72">
              <w:t>3,6∙10-5 (Ar) +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+ 2,3∙10-6 (O) +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+ 3,41∙10-8 (Ni) +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+ 5,2∙10-6</w:t>
            </w:r>
            <w:r>
              <w:t xml:space="preserve"> </w:t>
            </w:r>
            <w:r w:rsidRPr="004E2C72">
              <w:t xml:space="preserve">(С) + 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+ 1,3∙10-11 (As)</w:t>
            </w:r>
          </w:p>
        </w:tc>
        <w:tc>
          <w:tcPr>
            <w:tcW w:w="1370" w:type="pct"/>
            <w:vAlign w:val="center"/>
          </w:tcPr>
          <w:p w:rsidR="0076162F" w:rsidRPr="004E2C72" w:rsidRDefault="0076162F" w:rsidP="003D5B5F">
            <w:pPr>
              <w:spacing w:after="100"/>
              <w:rPr>
                <w:lang w:val="en-US"/>
              </w:rPr>
            </w:pPr>
            <w:r w:rsidRPr="004E2C72">
              <w:rPr>
                <w:lang w:val="en-US"/>
              </w:rPr>
              <w:t>AsXOY, Ni(AsXO)Y, Ni, NiCO3, NiO, Ni3C, As, C,</w:t>
            </w:r>
          </w:p>
        </w:tc>
        <w:tc>
          <w:tcPr>
            <w:tcW w:w="1194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1500/1200</w:t>
            </w:r>
          </w:p>
        </w:tc>
      </w:tr>
      <w:tr w:rsidR="0076162F" w:rsidRPr="004E2C72" w:rsidTr="003D5B5F">
        <w:tc>
          <w:tcPr>
            <w:tcW w:w="995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NiАУ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с селеном</w:t>
            </w:r>
          </w:p>
        </w:tc>
        <w:tc>
          <w:tcPr>
            <w:tcW w:w="1440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-//- + 1,01∙10-11 (Se)</w:t>
            </w:r>
          </w:p>
        </w:tc>
        <w:tc>
          <w:tcPr>
            <w:tcW w:w="1370" w:type="pct"/>
            <w:vAlign w:val="center"/>
          </w:tcPr>
          <w:p w:rsidR="0076162F" w:rsidRPr="004E2C72" w:rsidRDefault="0076162F" w:rsidP="003D5B5F">
            <w:pPr>
              <w:spacing w:after="100"/>
              <w:rPr>
                <w:lang w:val="en-US"/>
              </w:rPr>
            </w:pPr>
            <w:r w:rsidRPr="004E2C72">
              <w:rPr>
                <w:lang w:val="en-US"/>
              </w:rPr>
              <w:t>NiCO3, NiO, NiSeO3, Se, SeXOY, NiSeX, Ni3C, Ni, C</w:t>
            </w:r>
          </w:p>
        </w:tc>
        <w:tc>
          <w:tcPr>
            <w:tcW w:w="1194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1200/1300</w:t>
            </w:r>
          </w:p>
        </w:tc>
      </w:tr>
      <w:tr w:rsidR="0076162F" w:rsidRPr="004E2C72" w:rsidTr="003D5B5F">
        <w:tc>
          <w:tcPr>
            <w:tcW w:w="995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NiАУ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с теллуром</w:t>
            </w:r>
          </w:p>
        </w:tc>
        <w:tc>
          <w:tcPr>
            <w:tcW w:w="1440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-//- + 6,3∙10-12 (Te)</w:t>
            </w:r>
          </w:p>
        </w:tc>
        <w:tc>
          <w:tcPr>
            <w:tcW w:w="1370" w:type="pct"/>
          </w:tcPr>
          <w:p w:rsidR="0076162F" w:rsidRPr="004E2C72" w:rsidRDefault="0076162F" w:rsidP="003D5B5F">
            <w:pPr>
              <w:spacing w:after="100"/>
              <w:rPr>
                <w:lang w:val="en-US"/>
              </w:rPr>
            </w:pPr>
            <w:r w:rsidRPr="004E2C72">
              <w:rPr>
                <w:lang w:val="en-US"/>
              </w:rPr>
              <w:t>NiCO3, NiO, TeO2, NiXTeY, Ni3C, Ni, C, Te</w:t>
            </w:r>
          </w:p>
        </w:tc>
        <w:tc>
          <w:tcPr>
            <w:tcW w:w="1194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1300/1200</w:t>
            </w:r>
          </w:p>
        </w:tc>
      </w:tr>
      <w:tr w:rsidR="0076162F" w:rsidRPr="004E2C72" w:rsidTr="003D5B5F">
        <w:tc>
          <w:tcPr>
            <w:tcW w:w="995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NiАУ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с сурьмой</w:t>
            </w:r>
          </w:p>
        </w:tc>
        <w:tc>
          <w:tcPr>
            <w:tcW w:w="1440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-//- + 2,9∙10-12 (Sb)</w:t>
            </w:r>
          </w:p>
        </w:tc>
        <w:tc>
          <w:tcPr>
            <w:tcW w:w="1370" w:type="pct"/>
            <w:vAlign w:val="center"/>
          </w:tcPr>
          <w:p w:rsidR="0076162F" w:rsidRPr="004E2C72" w:rsidRDefault="0076162F" w:rsidP="003D5B5F">
            <w:pPr>
              <w:spacing w:after="100"/>
              <w:rPr>
                <w:lang w:val="en-US"/>
              </w:rPr>
            </w:pPr>
            <w:r w:rsidRPr="004E2C72">
              <w:rPr>
                <w:lang w:val="en-US"/>
              </w:rPr>
              <w:t>NiCO3, NiO, SbxOy, Ni3C, Ni, C, NiSb, Sb</w:t>
            </w:r>
          </w:p>
        </w:tc>
        <w:tc>
          <w:tcPr>
            <w:tcW w:w="1194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1400/1300</w:t>
            </w:r>
          </w:p>
        </w:tc>
      </w:tr>
    </w:tbl>
    <w:p w:rsidR="0076162F" w:rsidRPr="004E2C72" w:rsidRDefault="0076162F" w:rsidP="0076162F">
      <w:pPr>
        <w:spacing w:before="120" w:after="100"/>
        <w:ind w:firstLine="567"/>
        <w:jc w:val="both"/>
      </w:pPr>
    </w:p>
    <w:p w:rsidR="0076162F" w:rsidRDefault="0076162F" w:rsidP="0076162F">
      <w:pPr>
        <w:spacing w:before="120" w:after="100"/>
        <w:ind w:firstLine="567"/>
        <w:jc w:val="both"/>
      </w:pPr>
      <w:r w:rsidRPr="004E2C72">
        <w:t>Теллур. После низкотемпературного восстановления теллур образует с никелем интерметаллические соединения, входящие в состав разбавленных конденсированных растворов на основе металла модификатора и углерода.</w:t>
      </w:r>
      <w:r>
        <w:t xml:space="preserve"> </w:t>
      </w:r>
      <w:r w:rsidRPr="004E2C72">
        <w:t>Но эти интерметаллические соединения не обладают высокой термической стабильностью и выше 400–600оС разлагаются с выделением элементарного теллура, остающегося в составе конденсированного раствора.</w:t>
      </w:r>
      <w:r>
        <w:t xml:space="preserve"> </w:t>
      </w:r>
      <w:r w:rsidRPr="004E2C72">
        <w:t>Выше 1200оС</w:t>
      </w:r>
      <w:r>
        <w:t xml:space="preserve"> </w:t>
      </w:r>
      <w:r w:rsidRPr="004E2C72">
        <w:t xml:space="preserve">конденсированный раствор начинает разлагаться, и теллур переходит в газовую фазу в атомарном виде (рис. 5б). 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 xml:space="preserve">Сурьма. При низкой температуре оксиды сурьмы восстанавливаются; после чего сурьма образует антимонид никеля, входящий в состав разбавленного раствора на основе </w:t>
      </w:r>
    </w:p>
    <w:p w:rsidR="0076162F" w:rsidRPr="004E2C72" w:rsidRDefault="00171F28" w:rsidP="0076162F">
      <w:pPr>
        <w:spacing w:before="120" w:after="100"/>
        <w:ind w:firstLine="567"/>
        <w:jc w:val="both"/>
      </w:pPr>
      <w:r>
        <w:pict>
          <v:shape id="_x0000_i1036" type="#_x0000_t75" style="width:100.5pt;height:99pt" o:preferrelative="f">
            <v:imagedata r:id="rId15" o:title=""/>
            <o:lock v:ext="edit" aspectratio="f"/>
          </v:shape>
        </w:pict>
      </w:r>
      <w:r>
        <w:pict>
          <v:shape id="_x0000_i1037" type="#_x0000_t75" style="width:95.25pt;height:99pt" o:preferrelative="f">
            <v:imagedata r:id="rId16" o:title=""/>
            <o:lock v:ext="edit" aspectratio="f"/>
          </v:shape>
        </w:pict>
      </w:r>
      <w:r>
        <w:pict>
          <v:shape id="_x0000_i1038" type="#_x0000_t75" style="width:99pt;height:98.25pt" o:preferrelative="f">
            <v:imagedata r:id="rId17" o:title=""/>
            <o:lock v:ext="edit" aspectratio="f"/>
          </v:shape>
        </w:pict>
      </w:r>
      <w:r>
        <w:pict>
          <v:shape id="_x0000_i1039" type="#_x0000_t75" style="width:116.25pt;height:98.25pt">
            <v:imagedata r:id="rId18" o:title=""/>
          </v:shape>
        </w:pict>
      </w:r>
      <w:r w:rsidR="0076162F" w:rsidRPr="004E2C72">
        <w:t xml:space="preserve"> </w:t>
      </w:r>
      <w:r>
        <w:pict>
          <v:shape id="_x0000_i1040" type="#_x0000_t75" style="width:120pt;height:98.25pt">
            <v:imagedata r:id="rId19" o:title=""/>
          </v:shape>
        </w:pic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Рисунок 5 – расчетные графики изменения состава исследуемых систем (в нормированных молях – Mn)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от температуры: As + Niмод (а); Te + Niмод (б); 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Sb + Niмод (в), Sе + Niмод (г), Sе + Niмод (д) без учета образования конденсированных растворов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никеля и углерода. При температурах выше 800оС начинается разложение антимонида никеля, но сурьма продолжается оставаться в составе конденсированного раствора</w:t>
      </w:r>
      <w:r>
        <w:t xml:space="preserve"> </w:t>
      </w:r>
      <w:r w:rsidRPr="004E2C72">
        <w:t xml:space="preserve">до 1300оС (рис. 5в). 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 xml:space="preserve">Селен. Для селена после низкотемпературного восстановления прогнозируется образование селенидов никеля, связанных с соответствующими конденсированными растворами. Хотя указанные селениды не являются термически устойчивыми, после их разложения элементарный селен сохраняется в составе разбавленного конденсированного раствора до 1300оС. Отметим, что высокотемпературные потери элемента возможны в виде атомарного Se и CSe(Г), разлагающегося при температуре атомизации селена (рис. 5г).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Экспериментальные данные показали, что при использовании никельсодержащего активированного угля наблюдается, в отличие от традиционного способа введения химических модификаторов в виде растворов солей, более высокий уровень температур термостабилизации аналита в графитовой печи, достижимый при меньших массовых соотношениях металлический модификатор/аналит.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Максимально допустимые температуры стадии пиролиза, спрогнозированные разработанной термодинамической моделью и полученные экспериментально, дают весьма удовлетворительную сходимость. Следует заметить, что в отличие от теории, на экспериментальной пиролизационной зависимости селена наблюдается небольшой минимум в районе 500–700ºС.</w:t>
      </w:r>
      <w:r>
        <w:t xml:space="preserve"> </w:t>
      </w:r>
      <w:r w:rsidRPr="004E2C72">
        <w:t>Этот факт и занижение теоретических значений в некоторых случаях, вероятнее всего, обусловлены спецификой структурных и химических свойств используемого модификатора, которые предопределяют несколько иное протекание взаимодействий с аналитом, чем это предполагается моделью. К тому же участие макро- и микроэлементов, содержащихся в</w:t>
      </w:r>
      <w:r>
        <w:t xml:space="preserve"> </w:t>
      </w:r>
      <w:r w:rsidRPr="004E2C72">
        <w:t xml:space="preserve">активированном угле, на уровне не ниже 10-2% масс в данном случае не учитывалось в теоретических расчетах. Кроме того, используемая углеродсодержащая основа является сложнейшей смесью весьма реакционно-способных химических веществ. Эти факторы могут несколько изменить реальную картину термохимических процессов в сравнении с теоретическими расчетами на основе термодинамических данных для чистого углерода (элементарный, графит и т.п.).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Кинетические исследования процессов атомизации элементов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Определение значений энергии активации (Еа) проведено по разработанной нами экспериментальной схеме измерений, основанной на определении зависимости скорости процесса атомизации от температуры по измеренным аналитическим сигналам на их начальном участке.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Отработка предлагаемого подхода</w:t>
      </w:r>
      <w:r>
        <w:t xml:space="preserve"> </w:t>
      </w:r>
      <w:r w:rsidRPr="004E2C72">
        <w:t xml:space="preserve">и определение отрезка времени (от момента достижения установленной температуры атомизации), на котором нет выноса атомов, проводилась на основе хорошо воспроизводимой и изученной системы атомизации серебра. Временной интервал ∆τ продолжительностью 0,25–0,30 с использовался нами при изучении механизма атомизации элементов в присутствии модификаторов, так как при таком значении достигается наилучшее соответствие полученных экспериментальных значений Еа для атомизации серебра с литературными (табл. 7).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Таблица 7 – Кинетические параметры исследованных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систем</w:t>
      </w:r>
    </w:p>
    <w:tbl>
      <w:tblPr>
        <w:tblStyle w:val="a4"/>
        <w:tblW w:w="5000" w:type="pct"/>
        <w:tblInd w:w="-113" w:type="dxa"/>
        <w:tblLook w:val="01E0" w:firstRow="1" w:lastRow="1" w:firstColumn="1" w:lastColumn="1" w:noHBand="0" w:noVBand="0"/>
      </w:tblPr>
      <w:tblGrid>
        <w:gridCol w:w="1241"/>
        <w:gridCol w:w="1287"/>
        <w:gridCol w:w="1512"/>
        <w:gridCol w:w="2081"/>
        <w:gridCol w:w="3733"/>
      </w:tblGrid>
      <w:tr w:rsidR="0076162F" w:rsidRPr="004E2C72" w:rsidTr="003D5B5F">
        <w:tc>
          <w:tcPr>
            <w:tcW w:w="630" w:type="pct"/>
            <w:vMerge w:val="restart"/>
            <w:textDirection w:val="btLr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Элемент</w:t>
            </w:r>
          </w:p>
        </w:tc>
        <w:tc>
          <w:tcPr>
            <w:tcW w:w="4370" w:type="pct"/>
            <w:gridSpan w:val="4"/>
          </w:tcPr>
          <w:p w:rsidR="0076162F" w:rsidRPr="004E2C72" w:rsidRDefault="0076162F" w:rsidP="003D5B5F">
            <w:pPr>
              <w:spacing w:after="100"/>
            </w:pPr>
            <w:r w:rsidRPr="004E2C72">
              <w:t>Еа, ккал/моль</w:t>
            </w:r>
          </w:p>
        </w:tc>
      </w:tr>
      <w:tr w:rsidR="0076162F" w:rsidRPr="004E2C72" w:rsidTr="003D5B5F">
        <w:tc>
          <w:tcPr>
            <w:tcW w:w="630" w:type="pct"/>
            <w:vMerge/>
            <w:vAlign w:val="center"/>
          </w:tcPr>
          <w:p w:rsidR="0076162F" w:rsidRPr="004E2C72" w:rsidRDefault="0076162F" w:rsidP="003D5B5F">
            <w:pPr>
              <w:spacing w:after="100"/>
            </w:pPr>
          </w:p>
        </w:tc>
        <w:tc>
          <w:tcPr>
            <w:tcW w:w="1420" w:type="pct"/>
            <w:gridSpan w:val="2"/>
          </w:tcPr>
          <w:p w:rsidR="0076162F" w:rsidRPr="004E2C72" w:rsidRDefault="0076162F" w:rsidP="003D5B5F">
            <w:pPr>
              <w:spacing w:after="100"/>
            </w:pPr>
            <w:r w:rsidRPr="004E2C72">
              <w:t>без модификатора</w:t>
            </w:r>
          </w:p>
        </w:tc>
        <w:tc>
          <w:tcPr>
            <w:tcW w:w="1056" w:type="pct"/>
            <w:vMerge w:val="restar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с раствором нитрата никеля</w:t>
            </w:r>
          </w:p>
        </w:tc>
        <w:tc>
          <w:tcPr>
            <w:tcW w:w="1894" w:type="pct"/>
            <w:vMerge w:val="restar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с никельсодержащим активированным углем</w:t>
            </w:r>
          </w:p>
        </w:tc>
      </w:tr>
      <w:tr w:rsidR="0076162F" w:rsidRPr="004E2C72" w:rsidTr="003D5B5F">
        <w:tc>
          <w:tcPr>
            <w:tcW w:w="630" w:type="pct"/>
            <w:vMerge/>
            <w:vAlign w:val="center"/>
          </w:tcPr>
          <w:p w:rsidR="0076162F" w:rsidRPr="004E2C72" w:rsidRDefault="0076162F" w:rsidP="003D5B5F">
            <w:pPr>
              <w:spacing w:after="100"/>
            </w:pPr>
          </w:p>
        </w:tc>
        <w:tc>
          <w:tcPr>
            <w:tcW w:w="653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эксп.</w:t>
            </w:r>
          </w:p>
        </w:tc>
        <w:tc>
          <w:tcPr>
            <w:tcW w:w="76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литер.*</w:t>
            </w:r>
          </w:p>
        </w:tc>
        <w:tc>
          <w:tcPr>
            <w:tcW w:w="1056" w:type="pct"/>
            <w:vMerge/>
            <w:vAlign w:val="center"/>
          </w:tcPr>
          <w:p w:rsidR="0076162F" w:rsidRPr="004E2C72" w:rsidRDefault="0076162F" w:rsidP="003D5B5F">
            <w:pPr>
              <w:spacing w:after="100"/>
            </w:pPr>
          </w:p>
        </w:tc>
        <w:tc>
          <w:tcPr>
            <w:tcW w:w="1894" w:type="pct"/>
            <w:vMerge/>
            <w:vAlign w:val="center"/>
          </w:tcPr>
          <w:p w:rsidR="0076162F" w:rsidRPr="004E2C72" w:rsidRDefault="0076162F" w:rsidP="003D5B5F">
            <w:pPr>
              <w:spacing w:after="100"/>
            </w:pPr>
          </w:p>
        </w:tc>
      </w:tr>
      <w:tr w:rsidR="0076162F" w:rsidRPr="004E2C72" w:rsidTr="003D5B5F">
        <w:tc>
          <w:tcPr>
            <w:tcW w:w="630" w:type="pct"/>
            <w:vAlign w:val="center"/>
          </w:tcPr>
          <w:p w:rsidR="0076162F" w:rsidRPr="004E2C72" w:rsidRDefault="0076162F" w:rsidP="003D5B5F">
            <w:pPr>
              <w:spacing w:after="100"/>
              <w:rPr>
                <w:lang w:val="en-US"/>
              </w:rPr>
            </w:pPr>
            <w:r w:rsidRPr="004E2C72">
              <w:rPr>
                <w:lang w:val="en-US"/>
              </w:rPr>
              <w:t>Ag</w:t>
            </w:r>
          </w:p>
          <w:p w:rsidR="0076162F" w:rsidRPr="004E2C72" w:rsidRDefault="0076162F" w:rsidP="003D5B5F">
            <w:pPr>
              <w:spacing w:after="100"/>
              <w:rPr>
                <w:lang w:val="en-US"/>
              </w:rPr>
            </w:pPr>
            <w:r w:rsidRPr="004E2C72">
              <w:rPr>
                <w:lang w:val="en-US"/>
              </w:rPr>
              <w:t>As</w:t>
            </w:r>
          </w:p>
          <w:p w:rsidR="0076162F" w:rsidRPr="004E2C72" w:rsidRDefault="0076162F" w:rsidP="003D5B5F">
            <w:pPr>
              <w:spacing w:after="100"/>
              <w:rPr>
                <w:lang w:val="en-US"/>
              </w:rPr>
            </w:pPr>
            <w:r w:rsidRPr="004E2C72">
              <w:rPr>
                <w:lang w:val="en-US"/>
              </w:rPr>
              <w:t>Se</w:t>
            </w:r>
          </w:p>
          <w:p w:rsidR="0076162F" w:rsidRPr="004E2C72" w:rsidRDefault="0076162F" w:rsidP="003D5B5F">
            <w:pPr>
              <w:spacing w:after="100"/>
              <w:rPr>
                <w:lang w:val="en-US"/>
              </w:rPr>
            </w:pPr>
            <w:r w:rsidRPr="004E2C72">
              <w:rPr>
                <w:lang w:val="en-US"/>
              </w:rPr>
              <w:t>Sb</w:t>
            </w:r>
          </w:p>
          <w:p w:rsidR="0076162F" w:rsidRPr="004E2C72" w:rsidRDefault="0076162F" w:rsidP="003D5B5F">
            <w:pPr>
              <w:spacing w:after="100"/>
              <w:rPr>
                <w:lang w:val="en-US"/>
              </w:rPr>
            </w:pPr>
            <w:r w:rsidRPr="004E2C72">
              <w:rPr>
                <w:lang w:val="en-US"/>
              </w:rPr>
              <w:t>Te</w:t>
            </w:r>
          </w:p>
        </w:tc>
        <w:tc>
          <w:tcPr>
            <w:tcW w:w="653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60 ± 6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52 ± 5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56 ± 5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53 ± 5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59 ± 6</w:t>
            </w:r>
          </w:p>
        </w:tc>
        <w:tc>
          <w:tcPr>
            <w:tcW w:w="767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66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79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49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56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47</w:t>
            </w:r>
          </w:p>
        </w:tc>
        <w:tc>
          <w:tcPr>
            <w:tcW w:w="1056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–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80 ± 8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83 ± 8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85 ± 8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75 ± 7</w:t>
            </w:r>
          </w:p>
        </w:tc>
        <w:tc>
          <w:tcPr>
            <w:tcW w:w="1894" w:type="pct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–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79 ± 7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82 ± 8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94 ± 8</w:t>
            </w:r>
          </w:p>
          <w:p w:rsidR="0076162F" w:rsidRPr="004E2C72" w:rsidRDefault="0076162F" w:rsidP="003D5B5F">
            <w:pPr>
              <w:spacing w:after="100"/>
            </w:pPr>
            <w:r w:rsidRPr="004E2C72">
              <w:t>80 ± 8</w:t>
            </w:r>
          </w:p>
        </w:tc>
      </w:tr>
      <w:tr w:rsidR="0076162F" w:rsidRPr="004E2C72" w:rsidTr="003D5B5F">
        <w:tc>
          <w:tcPr>
            <w:tcW w:w="5000" w:type="pct"/>
            <w:gridSpan w:val="5"/>
            <w:vAlign w:val="center"/>
          </w:tcPr>
          <w:p w:rsidR="0076162F" w:rsidRPr="004E2C72" w:rsidRDefault="0076162F" w:rsidP="003D5B5F">
            <w:pPr>
              <w:spacing w:after="100"/>
            </w:pPr>
            <w:r w:rsidRPr="004E2C72">
              <w:t>*Литературные источники из списка литературы диссертации</w:t>
            </w:r>
          </w:p>
        </w:tc>
      </w:tr>
    </w:tbl>
    <w:p w:rsidR="0076162F" w:rsidRPr="004E2C72" w:rsidRDefault="0076162F" w:rsidP="0076162F">
      <w:pPr>
        <w:spacing w:before="120" w:after="100"/>
        <w:ind w:firstLine="567"/>
        <w:jc w:val="both"/>
      </w:pP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Рассчитанные по экспериментальным данным энергии активации элементов без модификатора соответствуют процессам испарения элементов в виде мономеров (табл. 7). В присутствии никельсодержащего активированного угля значения Еа существенно выше по сравнению с системами без модификаторов, что свидетельствует о кардинальном изменении термохимического процесса образования атомов от испарения элемента к термодеструкции устойчивой конденсированной структуры C-Ni-А (где А – аналит).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Следует заметить, что энергии активации, полученные с применением раствора нитрата никеля и никельсодержащего активированного угля, совпадают между собой. Это свидетельствует о протекании сходных процессов разложения структур никель-элемент, но полученные кинетические данные не отражают способность модификатора задерживать испарение элементов до более высоких температур. Сопоставление полученных результатов с термодинамическими данными позволило сделать вывод о том, что главный выигрыш в термостабилизации элементов в случае Ni-содержащего активированного угля происходит за счет образования конденсированных растворов между компонентами модификатора и элементами. Термодинамические расчеты, проведенные без учета возможности образования конденсированных растворов элементов с компонентами никелевого модификатора, показывают резкое ухудшение термической стабильности для всех элементов. Например, в случае селена после низкотемпературного разложения селенидов никеля начинается испарение элемента в виде димера, атомарного Se и CSe(Г)</w:t>
      </w:r>
      <w:r>
        <w:t xml:space="preserve"> </w:t>
      </w:r>
      <w:r w:rsidRPr="004E2C72">
        <w:t>уже с 400оС (рис. 5д).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Прямое ЭТААС определение элементов в объектах окружающей среды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С учетом проведенных исследований были оптимизированы следующие условия: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масса модификатора – 10 мг (для анализа вод) и 30 мг (для растительных материалов;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содержание никеля в модификаторе – 1%;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температуры стадий пиролиза и атомизации (табл. 5);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- приготовление суспензий: модификатор + 1 мл образца воды и модификатор + 5–20 мг высушенного и измельченного растительного материала + 1,5 мл воды + 0,1 мл конц. HNO3 + + 0,1 мл H2O2.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Разработанная схема прямого ЭТААС определения элементов в растительных объектах с использованием никельсодержащего активированного угля по технике дозирования суспензии апробирована</w:t>
      </w:r>
      <w:r>
        <w:t xml:space="preserve"> </w:t>
      </w:r>
      <w:r w:rsidRPr="004E2C72">
        <w:t>при определении As в стандартном образце водорослей морских (ламинарий) ГСО 8243-2003. Содержание мышьяка, определенное экспериментально (32,4 ± 2,1 мг/кг для n = 5 и Р = 0,95), хорошо согласуется с аттестованным значением (32,8 ± 1,2 мг/кг). Следует отметить, что никельсодержащий модификатор способствует выравниванию условий атомизации элементов из стандартных растворов и суспензий проб, что, в свою очередь, делает возможным применения простого способа определения градуировочной зависимости – по серии водных стандартных растворов.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Схема прямого ЭТААС определения As, Se, Sb и Те в природной воде с использованием никельсодержащего активированного угля и техники дозирования суспензии была апробирована на образце воды из озера Карасун (г.Краснодар) (табл. 8).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Таблица 8 – Результаты определения As, Se, Sb и Те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в воде озера Карасун (г. Краснодар)</w:t>
      </w:r>
    </w:p>
    <w:tbl>
      <w:tblPr>
        <w:tblStyle w:val="a4"/>
        <w:tblW w:w="4897" w:type="pct"/>
        <w:tblInd w:w="-113" w:type="dxa"/>
        <w:tblLayout w:type="fixed"/>
        <w:tblLook w:val="01E0" w:firstRow="1" w:lastRow="1" w:firstColumn="1" w:lastColumn="1" w:noHBand="0" w:noVBand="0"/>
      </w:tblPr>
      <w:tblGrid>
        <w:gridCol w:w="2425"/>
        <w:gridCol w:w="2814"/>
        <w:gridCol w:w="2200"/>
        <w:gridCol w:w="2212"/>
      </w:tblGrid>
      <w:tr w:rsidR="0076162F" w:rsidRPr="004E2C72" w:rsidTr="003D5B5F">
        <w:tc>
          <w:tcPr>
            <w:tcW w:w="1256" w:type="pct"/>
            <w:vMerge w:val="restart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Элемент</w:t>
            </w:r>
          </w:p>
        </w:tc>
        <w:tc>
          <w:tcPr>
            <w:tcW w:w="2598" w:type="pct"/>
            <w:gridSpan w:val="2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Найдено, мкг/л</w:t>
            </w:r>
          </w:p>
        </w:tc>
        <w:tc>
          <w:tcPr>
            <w:tcW w:w="1146" w:type="pct"/>
            <w:vMerge w:val="restart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Предел обнару-жения (ПО), мкг/л</w:t>
            </w:r>
          </w:p>
        </w:tc>
      </w:tr>
      <w:tr w:rsidR="0076162F" w:rsidRPr="004E2C72" w:rsidTr="003D5B5F">
        <w:tc>
          <w:tcPr>
            <w:tcW w:w="1256" w:type="pct"/>
            <w:vMerge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</w:p>
        </w:tc>
        <w:tc>
          <w:tcPr>
            <w:tcW w:w="1458" w:type="pct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по градуировоч-ному графику</w:t>
            </w:r>
          </w:p>
        </w:tc>
        <w:tc>
          <w:tcPr>
            <w:tcW w:w="1140" w:type="pct"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по методу добавок</w:t>
            </w:r>
          </w:p>
        </w:tc>
        <w:tc>
          <w:tcPr>
            <w:tcW w:w="1146" w:type="pct"/>
            <w:vMerge/>
            <w:vAlign w:val="center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</w:p>
        </w:tc>
      </w:tr>
      <w:tr w:rsidR="0076162F" w:rsidRPr="004E2C72" w:rsidTr="003D5B5F">
        <w:tc>
          <w:tcPr>
            <w:tcW w:w="1256" w:type="pct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  <w:rPr>
                <w:lang w:val="en-US"/>
              </w:rPr>
            </w:pPr>
            <w:r w:rsidRPr="004E2C72">
              <w:rPr>
                <w:lang w:val="en-US"/>
              </w:rPr>
              <w:t>As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  <w:rPr>
                <w:lang w:val="en-US"/>
              </w:rPr>
            </w:pPr>
            <w:r w:rsidRPr="004E2C72">
              <w:rPr>
                <w:lang w:val="en-US"/>
              </w:rPr>
              <w:t>Se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  <w:rPr>
                <w:lang w:val="en-US"/>
              </w:rPr>
            </w:pPr>
            <w:r w:rsidRPr="004E2C72">
              <w:rPr>
                <w:lang w:val="en-US"/>
              </w:rPr>
              <w:t>Sb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  <w:rPr>
                <w:lang w:val="en-US"/>
              </w:rPr>
            </w:pPr>
            <w:r w:rsidRPr="004E2C72">
              <w:rPr>
                <w:lang w:val="en-US"/>
              </w:rPr>
              <w:t>Te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  <w:rPr>
                <w:lang w:val="en-US"/>
              </w:rPr>
            </w:pPr>
            <w:r w:rsidRPr="004E2C72">
              <w:rPr>
                <w:lang w:val="en-US"/>
              </w:rPr>
              <w:t>Te (</w:t>
            </w:r>
            <w:r w:rsidRPr="004E2C72">
              <w:t>введено</w:t>
            </w:r>
            <w:r w:rsidRPr="004E2C72">
              <w:rPr>
                <w:lang w:val="en-US"/>
              </w:rPr>
              <w:t xml:space="preserve"> 30,0 </w:t>
            </w:r>
            <w:r w:rsidRPr="004E2C72">
              <w:t>мкг</w:t>
            </w:r>
            <w:r w:rsidRPr="004E2C72">
              <w:rPr>
                <w:lang w:val="en-US"/>
              </w:rPr>
              <w:t>/</w:t>
            </w:r>
            <w:r w:rsidRPr="004E2C72">
              <w:t>л</w:t>
            </w:r>
            <w:r w:rsidRPr="004E2C72">
              <w:rPr>
                <w:lang w:val="en-US"/>
              </w:rPr>
              <w:t>)</w:t>
            </w:r>
          </w:p>
        </w:tc>
        <w:tc>
          <w:tcPr>
            <w:tcW w:w="1458" w:type="pct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6,6 ± 0,2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22,7 ± 0,5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3,6 ± 0,2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Меньше ПО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32 ± 2</w:t>
            </w:r>
          </w:p>
        </w:tc>
        <w:tc>
          <w:tcPr>
            <w:tcW w:w="1140" w:type="pct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6,7 ± 0,3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23,0 ± 0,7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3,8 ± 0,3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Меньше ПО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35 ± 3</w:t>
            </w:r>
          </w:p>
        </w:tc>
        <w:tc>
          <w:tcPr>
            <w:tcW w:w="1146" w:type="pct"/>
          </w:tcPr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1,7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1,9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1,9</w:t>
            </w:r>
          </w:p>
          <w:p w:rsidR="0076162F" w:rsidRDefault="0076162F" w:rsidP="003D5B5F">
            <w:pPr>
              <w:spacing w:before="120" w:after="100"/>
              <w:ind w:firstLine="567"/>
              <w:jc w:val="both"/>
            </w:pPr>
            <w:r w:rsidRPr="004E2C72">
              <w:t>4,5</w:t>
            </w:r>
          </w:p>
          <w:p w:rsidR="0076162F" w:rsidRPr="004E2C72" w:rsidRDefault="0076162F" w:rsidP="003D5B5F">
            <w:pPr>
              <w:spacing w:before="120" w:after="100"/>
              <w:ind w:firstLine="567"/>
              <w:jc w:val="both"/>
            </w:pPr>
            <w:r w:rsidRPr="004E2C72">
              <w:t>–</w:t>
            </w:r>
          </w:p>
        </w:tc>
      </w:tr>
    </w:tbl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Определение сурьмы в воде методом ЭТААС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с предварительным концентрированием 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Предварительное исследование сорбционных характеристик никельсодержащей композиции было проведено на примере сурьмы с использованием “batch”-системы собственного изготовления. Полученные результаты свидетельствуют о том, что никель обладает сравнительно невысокими сорбционными свойствами по отношению к гидриду сурьмы (~30 мкг/г при СNi = 5%). Увеличение содержания металла в 50 раз повышает сорбционную емкость композиции в 3 раза. Предварительное восстановление никеля в токе водорода при повышенных температурах незначительно улучшает сорбционные характеристики исследуемого материала. Следует отметить, что сам активированный уголь обладает емкостью, достаточной для концентрирования сурьмы в аналитических целях при ее определении в природных объектах на уровне ПДК, а добавка никеля способствует формированию модифицирующих свойств композиции, обеспечивающих последующее ЭТААС определение элементов.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Никельсодержащий активированный уголь, используемый для предконцентрирования гидрида сурьмы, обеспечивает снижение предела обнаружения (1,9 нг/мл и 0,048 нг/мл соответственно для прямого и гидридного методов), что необходимо при анализе объектов с меньшими содержаниями элементов, чем предел обнаружения прямого метода ЭТААС.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ВЫВОДЫ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Методами порометрии, электронной микроскопии,</w:t>
      </w:r>
      <w:r>
        <w:t xml:space="preserve"> </w:t>
      </w:r>
      <w:r w:rsidRPr="004E2C72">
        <w:t>рентгенофотоэлектронной спектроскопии изучены особенности синтеза Ni-содержащих материалов на основе активированного угля. Получены их физико-химические характеристики, свидетельствующие об универсальности модифицирующего действия композиции при ЭТААС определении легколетучих элементов.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Изучены термостабилизирующие свойства никельсодержащих модификаторов по отношению к</w:t>
      </w:r>
      <w:r>
        <w:t xml:space="preserve"> </w:t>
      </w:r>
      <w:r w:rsidRPr="004E2C72">
        <w:t>определяемым элементам. Лучшая термическая стабильность (1500, 1300, 1400 и 1200ºС для As, Te, Sb и Se соответственно), оптимальные аналитические характеристики и наибольшая чувствительность достигаются при использовании Ni-содержащего активированного угля (масса модификатора – 10 мг и содержание в нем 0,5–1,0% никеля). Предложенная композиция устраняет мешающее влияние хлорид- и карбонат-ионов при их содержании менее 5 г/л.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На основе кинетических исследований показано, что в присутствии никельсодержащего модификатора происходит кардинальное изменение термохимического процесса образования атомов от испарения элемента в виде мономеров к термодеструкции устойчивой конденсированной структуры C</w:t>
      </w:r>
      <w:r w:rsidRPr="004E2C72">
        <w:noBreakHyphen/>
        <w:t>Ni-А (где А – аналит).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Термодинамические исследования термохимических процессов, протекающих в графитовой печи, показали, что стабилизация элементов при высоких температурах происходит за счет образования химических соединений между никелем и элементами и, главным образом, конденсированных растворов между элементами и компонентами модификатора.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Разработана схема прямого ЭТААС определения As, Te, Sb и Se в природной воде и растительных материалах с использованием никельсодержащего активированного угля в качестве модификатора и техники дозирования суспензий. Достигнуты пределы обнаружения для As, Te, Sb и Se 1,7; 4,5; 1,9 и 1,9 мкг/л соответственно.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Предложена схема определения сурьмы в воде, включающая концентрирование гидрида элемента никельсодержащим модификатором/сорбентом с последующим их определением сурьмы методом ЭТААС по технике дозирования в графитовую печь их водных суспензий. Достигнуто существенное снижение предела обнаружения сурьмы по сравнению с прямым методом (0,048 и 1,9 мкг/л соответственно).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 xml:space="preserve">Основное содержание работы изложено 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в следующих публикациях: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Каунова (Внукова) А.А., Бурылин М.Ю., Темердашев З.А. Модифицирующие свойства металлсодержащих активированных углей // Мат. Всеросс. конф. по аналит. химии «Аналитика России 2004», Москва, 27 сентября – 1 октября 2004. С. 131.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Каунова (Внукова) А.А., Бурылин М.Ю., Темердашев З.А. Электротермическое атомно-абсорбционное определение As, Se, Sb и Те по технике «slurry-sampling» с применением модификатора на основе никеля // Изв. вузов. Сев.-Кавк. регион. Естеств. науки. 2004. №3. C. 48–55.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Темердашев З.А., Бурылин М.Ю., Каунова (Внукова) А.А. Некоторые научно-методические аспекты ЭТААС определения гидридобразующих элементов (As, Sb, Se, Te) в объектах окружающей среды // Экологический вестник научных центров Черноморского экономического сотрудничества. 2004. №4. C. 80–85.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Каунова (Внукова) А.А., Бурылин М.Ю., Темердашев З.А. Прямое ЭТААС определение токсичных элементов в объектах окружающей среды // Мат. III Междунар. конф. по новым технологиям и приложениям современных физико-химических методов для изучения окружающей среды, Ростов-на-Дону, 21–25 марта 2005. С. 213–214.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Бурылин М.Ю., Темердашев З.А., Каунова (Внукова) А.А., Дорий М.С. ЭТААС анализ природных объектов с применением металлуглеродных сорбентов/модификаторов // Мат. XVII Уральской конф. по спектроскопии, г. Новоуральск, 12–15 сентября 2005. С. 58–59.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Каунова (Внукова) А.А., Бурылин М.Ю., Темердашев З.А. Концентрирование сурьмы никельсодержащим активированным углем для последующего ЭТААС определения // Мат. II Междунар. симпозиума «Разделение и концентрирование в аналитической химии и радиохимии», Краснодар, 25–30 сентября 2005. С. 144.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Бурылин М.Ю., Темердашев З.А., Бурылин С.Ю., Каунова А.А. Синтез и исследование физико-химических характеристик новых металлосодержащих сорбентов для концентрирования и определения гидридобразующих элементов // Наука Кубани. 2005. №5. С. 5-8.</w:t>
      </w:r>
    </w:p>
    <w:p w:rsidR="0076162F" w:rsidRPr="004E2C72" w:rsidRDefault="0076162F" w:rsidP="0076162F">
      <w:pPr>
        <w:spacing w:before="120" w:after="100"/>
        <w:ind w:firstLine="567"/>
        <w:jc w:val="both"/>
        <w:rPr>
          <w:lang w:val="en-US"/>
        </w:rPr>
      </w:pPr>
      <w:r w:rsidRPr="004E2C72">
        <w:t>Каунова (Внукова) А.А., Бурылин М.Ю., Темердашев З.А. Определение гидридобразующих элементов в водах методом электротермической атомно-абсорбционной спектрометрии с использованием никельсодержащих химических модификаторов // Зав. Лаб. Диагностика</w:t>
      </w:r>
      <w:r w:rsidRPr="004E2C72">
        <w:rPr>
          <w:lang w:val="en-US"/>
        </w:rPr>
        <w:t xml:space="preserve"> </w:t>
      </w:r>
      <w:r w:rsidRPr="004E2C72">
        <w:t>материалов</w:t>
      </w:r>
      <w:r w:rsidRPr="004E2C72">
        <w:rPr>
          <w:lang w:val="en-US"/>
        </w:rPr>
        <w:t xml:space="preserve">. 2006. </w:t>
      </w:r>
      <w:r w:rsidRPr="004E2C72">
        <w:t>Т</w:t>
      </w:r>
      <w:r w:rsidRPr="004E2C72">
        <w:rPr>
          <w:lang w:val="en-US"/>
        </w:rPr>
        <w:t xml:space="preserve">. 72, №5. </w:t>
      </w:r>
      <w:r w:rsidRPr="004E2C72">
        <w:t>С</w:t>
      </w:r>
      <w:r w:rsidRPr="004E2C72">
        <w:rPr>
          <w:lang w:val="en-US"/>
        </w:rPr>
        <w:t>. 3–8.</w:t>
      </w:r>
    </w:p>
    <w:p w:rsidR="0076162F" w:rsidRPr="004E2C72" w:rsidRDefault="0076162F" w:rsidP="0076162F">
      <w:pPr>
        <w:spacing w:before="120" w:after="100"/>
        <w:ind w:firstLine="567"/>
        <w:jc w:val="both"/>
        <w:rPr>
          <w:lang w:val="en-US"/>
        </w:rPr>
      </w:pPr>
      <w:r w:rsidRPr="004E2C72">
        <w:rPr>
          <w:lang w:val="en-US"/>
        </w:rPr>
        <w:t xml:space="preserve">Burylin M.Yu., Temerdashev Z.A., Kaunova A.A. Development of electrothermal atomic absorption spectrometry method with slurry-sampling of carbonized materials // International Congress on Analytical Sciences (ICAS-2006), Moscow, 25–30 June 2006. </w:t>
      </w:r>
      <w:r w:rsidRPr="004E2C72">
        <w:t>Р</w:t>
      </w:r>
      <w:r w:rsidRPr="004E2C72">
        <w:rPr>
          <w:lang w:val="en-US"/>
        </w:rPr>
        <w:t>. 93.</w:t>
      </w:r>
    </w:p>
    <w:p w:rsidR="0076162F" w:rsidRPr="004E2C72" w:rsidRDefault="0076162F" w:rsidP="0076162F">
      <w:pPr>
        <w:spacing w:before="120" w:after="100"/>
        <w:ind w:firstLine="567"/>
        <w:jc w:val="both"/>
        <w:rPr>
          <w:lang w:val="en-US"/>
        </w:rPr>
      </w:pPr>
      <w:r w:rsidRPr="004E2C72">
        <w:rPr>
          <w:lang w:val="en-US"/>
        </w:rPr>
        <w:t xml:space="preserve">Burylin M.Yu., Pupyshev A.A., Temerdashev Z.A., Obogrelova S.A., Caunova A.A. Thermodynamic study of modifier effect of activated carbon containing palladium and nickel in GF AAS // VII European Furnace Symposium on Atomic Absorption Spectrometry, Electrothermal Vaporization (VII EFS) and XII Solid Sampling Colloquium with Atomic Spectrometry(XII SSC), St. Petersburg, 2–7 July 2006. </w:t>
      </w:r>
      <w:r w:rsidRPr="004E2C72">
        <w:t>Р</w:t>
      </w:r>
      <w:r w:rsidRPr="004E2C72">
        <w:rPr>
          <w:lang w:val="en-US"/>
        </w:rPr>
        <w:t>. 69.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rPr>
          <w:lang w:val="en-US"/>
        </w:rPr>
        <w:t xml:space="preserve">Temerdashev Z.A., Burylin M.Yu., Caunova A.A. Nickel containing sorbent/modifier based on activated carbon in electrothermal AAS // VII European Furnace Symposium on Atomic Absorption Spectrometry, Electrothermal Vaporization (VII EFS) and XII Solid Sampling Colloquium with Atomic Spectrometry (XII SSC), St. Petersburg, 2–7 July 2006. </w:t>
      </w:r>
      <w:r w:rsidRPr="004E2C72">
        <w:t>Р. 70.</w:t>
      </w:r>
    </w:p>
    <w:p w:rsidR="0076162F" w:rsidRPr="004E2C72" w:rsidRDefault="0076162F" w:rsidP="0076162F">
      <w:pPr>
        <w:spacing w:before="120" w:after="100"/>
        <w:ind w:firstLine="567"/>
        <w:jc w:val="both"/>
      </w:pPr>
      <w:r w:rsidRPr="004E2C72">
        <w:t>Бурылин М.Ю., Темердашев З.А., Каунова А.А. Кинетические исследования процессов атомизации сурьмы и селена с участием химического модификатора при их определении методом электротермической атомно-абсорбционной спектрометрии // Журн. прикл. спектр. 2006. Т.73. № 4. С. 530–534.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Бурылин М.Ю., Темердашев З.А., Пупышев А.А., Каунова А.А., Обогрелова С.А. Термодинамическое моделирование</w:t>
      </w:r>
      <w:r>
        <w:t xml:space="preserve"> </w:t>
      </w:r>
      <w:r w:rsidRPr="004E2C72">
        <w:t>термостабилизирующей эффективности</w:t>
      </w:r>
      <w:r>
        <w:t xml:space="preserve"> </w:t>
      </w:r>
      <w:r w:rsidRPr="004E2C72">
        <w:t>металлсодержащих модификаторов на основе активированного угля в методе электротермической атомно-абсорбционной спектрометрии // Журн. прикл. спектр. 2006. Т.73. № 5. С. 676–682.</w:t>
      </w:r>
    </w:p>
    <w:p w:rsidR="0076162F" w:rsidRDefault="0076162F" w:rsidP="0076162F">
      <w:pPr>
        <w:spacing w:before="120" w:after="100"/>
        <w:ind w:firstLine="567"/>
        <w:jc w:val="both"/>
      </w:pPr>
      <w:r w:rsidRPr="004E2C72">
        <w:t>Автор выражает глубокую признательность за консультации и методическую помощь доценту Бурылину Михаилу Юрьевичу.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62F"/>
    <w:rsid w:val="00051FB8"/>
    <w:rsid w:val="00095BA6"/>
    <w:rsid w:val="00171F28"/>
    <w:rsid w:val="001E155C"/>
    <w:rsid w:val="00210DB3"/>
    <w:rsid w:val="0031418A"/>
    <w:rsid w:val="00350B15"/>
    <w:rsid w:val="00377A3D"/>
    <w:rsid w:val="003D5B5F"/>
    <w:rsid w:val="004E2C72"/>
    <w:rsid w:val="00503F6E"/>
    <w:rsid w:val="0052086C"/>
    <w:rsid w:val="005A2562"/>
    <w:rsid w:val="00722EAC"/>
    <w:rsid w:val="00755964"/>
    <w:rsid w:val="0076162F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docId w15:val="{EA92EFC2-9199-43E6-8FAD-19205C16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6162F"/>
    <w:rPr>
      <w:color w:val="0000FF"/>
      <w:u w:val="single"/>
    </w:rPr>
  </w:style>
  <w:style w:type="table" w:styleId="a4">
    <w:name w:val="Table Grid"/>
    <w:basedOn w:val="a1"/>
    <w:uiPriority w:val="99"/>
    <w:rsid w:val="007616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4956</Words>
  <Characters>28252</Characters>
  <Application>Microsoft Office Word</Application>
  <DocSecurity>0</DocSecurity>
  <Lines>235</Lines>
  <Paragraphs>66</Paragraphs>
  <ScaleCrop>false</ScaleCrop>
  <Company>Home</Company>
  <LinksUpToDate>false</LinksUpToDate>
  <CharactersWithSpaces>33142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легколетучих элементов методом ЭТААС по технике дозирования суспензий образцов на никелевом модификаторе</dc:title>
  <dc:subject/>
  <dc:creator>Alena</dc:creator>
  <cp:keywords/>
  <dc:description/>
  <cp:lastModifiedBy>admin</cp:lastModifiedBy>
  <cp:revision>2</cp:revision>
  <dcterms:created xsi:type="dcterms:W3CDTF">2014-02-18T13:34:00Z</dcterms:created>
  <dcterms:modified xsi:type="dcterms:W3CDTF">2014-02-18T13:34:00Z</dcterms:modified>
</cp:coreProperties>
</file>