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B2C" w:rsidRPr="007F3792" w:rsidRDefault="0057512E" w:rsidP="007F3792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Задание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№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imes New Roman"/>
          <w:b/>
          <w:color w:val="auto"/>
          <w:sz w:val="28"/>
          <w:szCs w:val="28"/>
        </w:rPr>
        <w:t>Понятие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imes New Roman"/>
          <w:b/>
          <w:color w:val="auto"/>
          <w:sz w:val="28"/>
          <w:szCs w:val="28"/>
        </w:rPr>
        <w:t>кредита.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imes New Roman"/>
          <w:b/>
          <w:color w:val="auto"/>
          <w:sz w:val="28"/>
          <w:szCs w:val="28"/>
        </w:rPr>
        <w:t>Процесс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imes New Roman"/>
          <w:b/>
          <w:color w:val="auto"/>
          <w:sz w:val="28"/>
          <w:szCs w:val="28"/>
        </w:rPr>
        <w:t>кредитования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imes New Roman"/>
          <w:b/>
          <w:color w:val="auto"/>
          <w:sz w:val="28"/>
          <w:szCs w:val="28"/>
        </w:rPr>
        <w:t>населения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F3792">
        <w:rPr>
          <w:rFonts w:ascii="Times New Roman" w:hAnsi="Times New Roman" w:cs="Times New Roman"/>
          <w:b/>
          <w:color w:val="auto"/>
          <w:sz w:val="28"/>
          <w:szCs w:val="28"/>
        </w:rPr>
        <w:t>коммерческих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F3792">
        <w:rPr>
          <w:rFonts w:ascii="Times New Roman" w:hAnsi="Times New Roman" w:cs="Times New Roman"/>
          <w:b/>
          <w:color w:val="auto"/>
          <w:sz w:val="28"/>
          <w:szCs w:val="28"/>
        </w:rPr>
        <w:t>банках</w:t>
      </w:r>
    </w:p>
    <w:p w:rsidR="00F53B2C" w:rsidRPr="007F3792" w:rsidRDefault="00F53B2C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D433B" w:rsidRPr="007F3792" w:rsidRDefault="00F53B2C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денежная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выдаваемые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установленном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договором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порядке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залог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определенный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правило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практически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коммерческих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минимальный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составляет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месяца).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взятия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денежной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залог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клиенты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просто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возвращают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течении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определенного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обязаны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пользование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комиссию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расчетное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кассовое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обслуживание,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издержки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издержками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понимается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непреднамеренные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расходы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вине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клиентов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примеру,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клиент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взял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вынужденным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обстоятельствам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уехал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длительную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командировку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другой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город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страну,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предупредив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сотрудников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том,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него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никакой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оплачивать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каким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причинам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два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двух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месяцев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оплатил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взносы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кредиту,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находясь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командировке.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данном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сотрудники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вынуждены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будут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связываться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Вами,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платя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междугородние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международные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вызовы.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сотрудников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данным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клиентом,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F3DDA" w:rsidRPr="007F3792">
        <w:rPr>
          <w:rFonts w:ascii="Times New Roman" w:hAnsi="Times New Roman" w:cs="Times New Roman"/>
          <w:color w:val="auto"/>
          <w:sz w:val="28"/>
          <w:szCs w:val="28"/>
        </w:rPr>
        <w:t>выписывается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высылается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штраф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задолженность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кредиту,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который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включает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себя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неуплаченные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проценты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комиссию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расчетное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обслуживание,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начисленную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пеню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раз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издержки.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клиент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определенных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ситуациях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покрывать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расходы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Банка.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71A00" w:rsidRPr="007F3792" w:rsidRDefault="005460A6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всё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пойти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идет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уступки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предупреждения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невозможности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вовремя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заплатить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кредит.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Причинами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быть: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смерть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кого-нибудь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родственников,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помимо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звонка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предоставить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свидетельство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смерти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родственника;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причиной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неожиданное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банкротство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(если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клиент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коммерческий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директор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крупной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компании,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директор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др.),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неожиданное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сокращение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т.п.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данном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случае,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документальном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подтверждении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причин,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предоставить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клиенту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отсрочку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платежа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(без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начисления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пени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штрафа)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кредиту,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предоставляет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дополнительный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срок,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течении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которого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клиент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обязан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заплатить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эту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433B" w:rsidRPr="007F3792">
        <w:rPr>
          <w:rFonts w:ascii="Times New Roman" w:hAnsi="Times New Roman" w:cs="Times New Roman"/>
          <w:color w:val="auto"/>
          <w:sz w:val="28"/>
          <w:szCs w:val="28"/>
        </w:rPr>
        <w:t>сумму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71A00" w:rsidRPr="007F3792" w:rsidRDefault="00071A00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краткосрочным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3-х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месяцев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2-х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долгосрочным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15-20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123C2" w:rsidRPr="007F3792" w:rsidRDefault="00071A00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F3792" w:rsidRPr="007F3792">
        <w:rPr>
          <w:rFonts w:ascii="Times New Roman" w:hAnsi="Times New Roman" w:cs="Times New Roman"/>
          <w:color w:val="auto"/>
          <w:sz w:val="28"/>
          <w:szCs w:val="28"/>
        </w:rPr>
        <w:t>правило,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краткосрочные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выдаются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определенные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товары: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бытовою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технику,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одежду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обувь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стройматериалы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инструменты,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мебель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др.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одних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данный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вид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носит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название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целевого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другом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потребительского.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Разницы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нет.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3B2C" w:rsidRPr="007F3792" w:rsidRDefault="00071A00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Потребительский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простую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форму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оформления,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предоставления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каких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справок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(обычной,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подтверждающей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деятельность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конкретном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предприятия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справки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последние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три-четыре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месяца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форме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2-НДФЛ).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оформления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такого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предоставить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паспорт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гражданина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Р.Ф.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(обязательно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оригинал)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любой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второй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документ,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которым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послужить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водительские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права,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страховое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свидетельство,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загранпаспорт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ИНН.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потребительскому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кредиту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правила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требуется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поручителей.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Поручитель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физическое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лицо,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официально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подтверждающее,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сможет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полном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объеме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клиента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невозможности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оплатить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клиентом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самостоятельно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(смерть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клиента,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инвалидность,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сокращение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производстве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123C2" w:rsidRPr="007F3792">
        <w:rPr>
          <w:rFonts w:ascii="Times New Roman" w:hAnsi="Times New Roman" w:cs="Times New Roman"/>
          <w:color w:val="auto"/>
          <w:sz w:val="28"/>
          <w:szCs w:val="28"/>
        </w:rPr>
        <w:t>причины).</w:t>
      </w:r>
    </w:p>
    <w:p w:rsidR="00071A00" w:rsidRPr="007F3792" w:rsidRDefault="002123C2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Долгосрочные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кредиты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выдаются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длительный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71A00"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процедура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оформления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которых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сложная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требует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большее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количество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документации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(паспорт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второй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документ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два,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справка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правило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поручитель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своим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паспортом).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долгосрочных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обязательствах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обычно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берут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недвижимость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залог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покупки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аренду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пользование.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категории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«в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аренду»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относятся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гаражи,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складские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помещения,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магазины,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разнообразные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мастерские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другое,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покупке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относятся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квартиры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комнаты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квартирного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типа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многоэтажных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домах,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особняки,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катеджи.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Последние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относятся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типу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ипотечный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460A6" w:rsidRPr="007F3792">
        <w:rPr>
          <w:rFonts w:ascii="Times New Roman" w:hAnsi="Times New Roman" w:cs="Times New Roman"/>
          <w:color w:val="auto"/>
          <w:sz w:val="28"/>
          <w:szCs w:val="28"/>
        </w:rPr>
        <w:t>кредит.</w:t>
      </w:r>
    </w:p>
    <w:p w:rsidR="00F24F09" w:rsidRPr="007F3792" w:rsidRDefault="00E96C5F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оформлении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сотрудник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оформляющий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проставлением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необходимых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подписей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двух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сторон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печати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торговой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зависимости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должен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предоставить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ознакомления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F24F09" w:rsidRPr="007F3792" w:rsidRDefault="00E96C5F" w:rsidP="007F3792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экземпляр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кредитного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договора;</w:t>
      </w:r>
    </w:p>
    <w:p w:rsidR="00F24F09" w:rsidRPr="007F3792" w:rsidRDefault="00F24F09" w:rsidP="007F3792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график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платежей;</w:t>
      </w:r>
    </w:p>
    <w:p w:rsidR="00F24F09" w:rsidRPr="007F3792" w:rsidRDefault="00E96C5F" w:rsidP="007F3792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штрафах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несвоевременную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оплату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кредиту;</w:t>
      </w:r>
    </w:p>
    <w:p w:rsidR="00F24F09" w:rsidRPr="007F3792" w:rsidRDefault="00F24F09" w:rsidP="007F3792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карточку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подтверждения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собственноручной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подписи;</w:t>
      </w:r>
    </w:p>
    <w:p w:rsidR="00F24F09" w:rsidRPr="007F3792" w:rsidRDefault="00E96C5F" w:rsidP="007F3792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уведо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мление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эффективной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процентной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4F09" w:rsidRPr="007F3792">
        <w:rPr>
          <w:rFonts w:ascii="Times New Roman" w:hAnsi="Times New Roman" w:cs="Times New Roman"/>
          <w:color w:val="auto"/>
          <w:sz w:val="28"/>
          <w:szCs w:val="28"/>
        </w:rPr>
        <w:t>ставке;</w:t>
      </w:r>
    </w:p>
    <w:p w:rsidR="00F24F09" w:rsidRPr="007F3792" w:rsidRDefault="00F24F09" w:rsidP="007F3792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экземпляр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договора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страхования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(при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такового)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F24F09" w:rsidRPr="007F3792" w:rsidRDefault="00F24F09" w:rsidP="007F3792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экземпляр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предоставления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96C5F"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экземпляр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предоставления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карт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(если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занимается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оформлением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выдачей)</w:t>
      </w:r>
    </w:p>
    <w:p w:rsidR="00F24F09" w:rsidRPr="007F3792" w:rsidRDefault="00F24F0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ознакомления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документацией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объяснения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сотрудником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порядка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оплаты,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внесения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т.д.,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проставляет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необходимые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подписи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трех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экземплярах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договора: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экземпляре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Далее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экземпляры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подписывает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сам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сотрудник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организация,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проставляются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необходимые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печати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забирает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товар.</w:t>
      </w:r>
    </w:p>
    <w:p w:rsidR="005B07D7" w:rsidRPr="007F3792" w:rsidRDefault="00F24F0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содержит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следующую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ин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формацию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B07D7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кредита;</w:t>
      </w:r>
    </w:p>
    <w:p w:rsidR="005B07D7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годовую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эффективную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ставку;</w:t>
      </w:r>
    </w:p>
    <w:p w:rsidR="005B07D7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получении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карты;</w:t>
      </w:r>
    </w:p>
    <w:p w:rsidR="00F24F09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штрафах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пени;</w:t>
      </w:r>
    </w:p>
    <w:p w:rsidR="005B07D7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возврата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(оплаты)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задолженности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кредиту;</w:t>
      </w:r>
    </w:p>
    <w:p w:rsidR="005B07D7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график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платежей;</w:t>
      </w:r>
    </w:p>
    <w:p w:rsidR="005B07D7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приобретенном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(наименование,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1131B" w:rsidRPr="007F3792">
        <w:rPr>
          <w:rFonts w:ascii="Times New Roman" w:hAnsi="Times New Roman" w:cs="Times New Roman"/>
          <w:color w:val="auto"/>
          <w:sz w:val="28"/>
          <w:szCs w:val="28"/>
        </w:rPr>
        <w:t>модель,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знак,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производитель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стоимость);</w:t>
      </w:r>
    </w:p>
    <w:p w:rsidR="005B07D7" w:rsidRPr="007F3792" w:rsidRDefault="005B07D7" w:rsidP="007F3792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реквизиты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др.</w:t>
      </w:r>
    </w:p>
    <w:p w:rsidR="005B07D7" w:rsidRPr="007F3792" w:rsidRDefault="0081131B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График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погашения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документ,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предоставляемый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клиенту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формируемый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Банком,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содержащий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себе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сумме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первоначального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взноса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сумме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кредита,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сроке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кредита,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сумме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ежемесячных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датах,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которым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вносить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платежи.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График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содержит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информацию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07D7" w:rsidRPr="007F3792">
        <w:rPr>
          <w:rFonts w:ascii="Times New Roman" w:hAnsi="Times New Roman" w:cs="Times New Roman"/>
          <w:color w:val="auto"/>
          <w:sz w:val="28"/>
          <w:szCs w:val="28"/>
        </w:rPr>
        <w:t>ежемесячных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процентах,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взимаемых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комиссии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расчетное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кассовое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обслуживание,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уведомлении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досрочном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кредита.</w:t>
      </w:r>
    </w:p>
    <w:p w:rsidR="0081131B" w:rsidRPr="007F3792" w:rsidRDefault="0081131B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</w:p>
    <w:p w:rsidR="00FD6359" w:rsidRPr="007F3792" w:rsidRDefault="00FD6359" w:rsidP="007F3792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Задание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№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Ипотека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-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особенности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получения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ипотечного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АКБ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«Сбербанк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b/>
          <w:color w:val="auto"/>
          <w:sz w:val="28"/>
          <w:szCs w:val="28"/>
        </w:rPr>
        <w:t>России»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Решив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ипотечный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покупку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жилья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недвижимости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(дома,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квартиры,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дачи,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земельного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участка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т.д.),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начинает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подыскивать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подходящего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кредитора: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чтоб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денег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было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взять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побольше,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выбрать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подольше,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поменьше.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желаниям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соответствуют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уж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российских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банков,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лидирующую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позицию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среди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уверенно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занимает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Сберегательный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РФ.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предлагает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клиентам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жилищных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программ: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недвижимость,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Ипотечный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«Ипотечный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+»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«Молодая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семья».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предоставление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ссуд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выгодных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условиях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предъявляет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определенные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самим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заемщикам,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желающие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воспользоваться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Сбербанка.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Рассмотрим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детально.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Особенности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получения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кредита.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Основными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критериями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ипотечных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являются: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максимальный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минимальный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первоначальный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взнос.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ставка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определяющей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роли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играет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(пределы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колебаний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составляют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порядка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2%),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гораздо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важнее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способ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чуть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позднее).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Сбербанк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предоставляет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гражданам,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достигшим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18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должна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достижения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75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максимальный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который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оформлена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ссуда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сравнения: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некоторых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максимальный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выдачи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погасить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получателю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исполнится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60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Размер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минимального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первоначального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взноса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Сбербанке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равен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10%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стоимости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приобретаемой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недвижимости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5%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программе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«Молодая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семья»),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тогда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большинстве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15%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выше.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главной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особенностью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Сбербанка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дифференцированный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способ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размер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ежемесячного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меняется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сторону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уменьшения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счет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равномерного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списания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основного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долга,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соответственно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уменьшения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процентов).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Сегодня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многие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прибегают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другой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схеме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ипотечных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аннуитетной,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подразумевающей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внесение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равных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течение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схема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внешне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проста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удобна,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деле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обходится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значительно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дороже,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дифференцированная.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Еще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одна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особенность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ипотечного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кредитования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Сбербанка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(впрочем,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прочих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программ)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официальная,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документально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подтвержденная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заработная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своим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потенциальным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заемщикам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предъявляет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серьезные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уровню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имеющегося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ежемесячного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«белого»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дохода.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помимо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залога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приобретаемого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жилья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потребует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поручительство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супруга/супруги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возможно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кого-то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родственников.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отметить,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наличии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отрицательной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истории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криминального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прошлого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Сбербанка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думать.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Способы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ипотечного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подходит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критериям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платежеспособности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благонадежности,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возникнуть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соблазн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максимальный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максимально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возможную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сумму.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Покупаться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стоит.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знать,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дифференцированная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схема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выданного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обеспечит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дешевизны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обойдется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намного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дороже,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чем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меньший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период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аннуитетными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платежами.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соглашаться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слишком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длительный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нужно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очень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осторожно,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тщательно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взвесив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«за»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«против».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Кроме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низкий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размер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первоначального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взноса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напрямую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влияет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дороговизну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увеличивая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выплаты.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ипотека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F3792" w:rsidRPr="007F3792">
        <w:rPr>
          <w:rFonts w:ascii="Times New Roman" w:hAnsi="Times New Roman" w:cs="Times New Roman"/>
          <w:color w:val="auto"/>
          <w:sz w:val="28"/>
          <w:szCs w:val="28"/>
        </w:rPr>
        <w:t>Сбербанка,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F3792" w:rsidRPr="007F3792">
        <w:rPr>
          <w:rFonts w:ascii="Times New Roman" w:hAnsi="Times New Roman" w:cs="Times New Roman"/>
          <w:color w:val="auto"/>
          <w:sz w:val="28"/>
          <w:szCs w:val="28"/>
        </w:rPr>
        <w:t>безусловно,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выгодна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заемщика,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забывать,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старается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извлечь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любой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сделки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собственную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выгоду.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Поэтому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чувство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«золотой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середины»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совсем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лишним.</w:t>
      </w:r>
    </w:p>
    <w:p w:rsidR="00374135" w:rsidRDefault="00374135" w:rsidP="00374135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D6359" w:rsidRPr="00374135" w:rsidRDefault="00FD6359" w:rsidP="00374135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4135">
        <w:rPr>
          <w:rFonts w:ascii="Times New Roman" w:hAnsi="Times New Roman" w:cs="Times New Roman"/>
          <w:b/>
          <w:color w:val="auto"/>
          <w:sz w:val="28"/>
          <w:szCs w:val="28"/>
        </w:rPr>
        <w:t>Задание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№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Преимущества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недостатки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коммерческого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ЗАО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«Банк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Русский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C6B61" w:rsidRPr="00374135">
        <w:rPr>
          <w:rFonts w:ascii="Times New Roman" w:hAnsi="Times New Roman" w:cs="Times New Roman"/>
          <w:b/>
          <w:color w:val="auto"/>
          <w:sz w:val="28"/>
          <w:szCs w:val="28"/>
        </w:rPr>
        <w:t>Стандарт»</w:t>
      </w:r>
    </w:p>
    <w:p w:rsidR="00CC6B61" w:rsidRPr="007F3792" w:rsidRDefault="00CC6B61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6B61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ЗАО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Русский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Стандарт»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коммерческим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Московским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Банком.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Создан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Москве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июне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1998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базе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бывшего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Агропромбанка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Начал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активное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розничное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кредитование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марте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2000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объему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выданных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потребительских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занимал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3-е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место.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D6359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недавнего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времени,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точнее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наступления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мирового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финансово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кризиса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занимал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кредитования,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уступая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ОАО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«ИнвестСбебанку»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(ныне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именуемый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ООО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F3792">
        <w:rPr>
          <w:rFonts w:ascii="Times New Roman" w:hAnsi="Times New Roman" w:cs="Times New Roman"/>
          <w:color w:val="auto"/>
          <w:sz w:val="28"/>
          <w:szCs w:val="28"/>
          <w:lang w:val="en-US"/>
        </w:rPr>
        <w:t>OTP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7F3792">
        <w:rPr>
          <w:rFonts w:ascii="Times New Roman" w:hAnsi="Times New Roman" w:cs="Times New Roman"/>
          <w:color w:val="auto"/>
          <w:sz w:val="28"/>
          <w:szCs w:val="28"/>
          <w:lang w:val="en-US"/>
        </w:rPr>
        <w:t>Bank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C6B61" w:rsidRPr="007F3792" w:rsidRDefault="00FD6359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июне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2002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открылся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филиал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городе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Владивостоке.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ЗАО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«Банк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Русский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Стандарт»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отличие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многих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Банков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России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некоторые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00538" w:rsidRPr="007F3792">
        <w:rPr>
          <w:rFonts w:ascii="Times New Roman" w:hAnsi="Times New Roman" w:cs="Times New Roman"/>
          <w:color w:val="auto"/>
          <w:sz w:val="28"/>
          <w:szCs w:val="28"/>
        </w:rPr>
        <w:t>преимущества.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00538" w:rsidRPr="007F3792" w:rsidRDefault="00300538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Во-первых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кредитование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населения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осуществляется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граждан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Р.Ф.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18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65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(включительно,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зависимо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срока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).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Например,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отделение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магазин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придет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брать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товар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пожилая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женщина,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которой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завтра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исполнится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65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лет,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откажет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кредитовании.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ООО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«Хоум-Кредит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Банке»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напротив,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пожилой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женщине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74135" w:rsidRPr="007F3792">
        <w:rPr>
          <w:rFonts w:ascii="Times New Roman" w:hAnsi="Times New Roman" w:cs="Times New Roman"/>
          <w:color w:val="auto"/>
          <w:sz w:val="28"/>
          <w:szCs w:val="28"/>
        </w:rPr>
        <w:t>примеру,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вчера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исполнилось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64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взять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сроком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год.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АКБ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«Росбанк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России»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такая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ситуация,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возраст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кредитования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55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B61" w:rsidRPr="007F3792">
        <w:rPr>
          <w:rFonts w:ascii="Times New Roman" w:hAnsi="Times New Roman" w:cs="Times New Roman"/>
          <w:color w:val="auto"/>
          <w:sz w:val="28"/>
          <w:szCs w:val="28"/>
        </w:rPr>
        <w:t>лет.</w:t>
      </w:r>
    </w:p>
    <w:p w:rsidR="00CC6B61" w:rsidRPr="007F3792" w:rsidRDefault="00CC6B61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Во-вторых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«Русский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Стандарт»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оформления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150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тыс.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руб.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нужен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один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документ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паспорт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гражданина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Р.Ф.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требуется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никаких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справок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поручителей.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60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тыс.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руб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требуется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справка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поручители.</w:t>
      </w:r>
    </w:p>
    <w:p w:rsidR="00300538" w:rsidRPr="007F3792" w:rsidRDefault="00CC6B61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В-третьих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Русский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Стандарт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выдает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смотря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московский)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выдает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России.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вы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живете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Владивостоке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Уссурийске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Спасске-Дальнем,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имеете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регистрацию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Москве,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Екатеринбурге,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Челябинске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городах,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вы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сможете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взять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65EDE" w:rsidRPr="007F3792">
        <w:rPr>
          <w:rFonts w:ascii="Times New Roman" w:hAnsi="Times New Roman" w:cs="Times New Roman"/>
          <w:color w:val="auto"/>
          <w:sz w:val="28"/>
          <w:szCs w:val="28"/>
        </w:rPr>
        <w:t>банке.</w:t>
      </w:r>
    </w:p>
    <w:p w:rsidR="00065EDE" w:rsidRPr="007F3792" w:rsidRDefault="00065EDE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октября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2007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отменил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комиссии: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теперь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комиссия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расчетное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обслуживание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взимается,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кассовое.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Русский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Стандарт»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величине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ставки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потребительский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(имеется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ввиду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низкой)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занимает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второе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России.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первом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  <w:lang w:val="en-US"/>
        </w:rPr>
        <w:t>OTP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7F3792">
        <w:rPr>
          <w:rFonts w:ascii="Times New Roman" w:hAnsi="Times New Roman" w:cs="Times New Roman"/>
          <w:color w:val="auto"/>
          <w:sz w:val="28"/>
          <w:szCs w:val="28"/>
          <w:lang w:val="en-US"/>
        </w:rPr>
        <w:t>Bank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наличными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второе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первом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стоят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два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одинаковой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ставкой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Сбербанк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России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ВТБ-24.</w:t>
      </w:r>
    </w:p>
    <w:p w:rsidR="007D42AE" w:rsidRPr="007F3792" w:rsidRDefault="00065EDE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«подводных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камней»,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скрытых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комиссий,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мелкого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почерка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внизу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договора,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многих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Банках.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Т.е.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скрывает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эффективную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ставку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видно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первых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листах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кредитного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42AE" w:rsidRPr="007F3792">
        <w:rPr>
          <w:rFonts w:ascii="Times New Roman" w:hAnsi="Times New Roman" w:cs="Times New Roman"/>
          <w:color w:val="auto"/>
          <w:sz w:val="28"/>
          <w:szCs w:val="28"/>
        </w:rPr>
        <w:t>договора.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65EDE" w:rsidRPr="007F3792" w:rsidRDefault="007D42AE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неоплату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начинает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начислять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пеню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первого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месяца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просрочки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просроченном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всё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таки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присылает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клиенту),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образом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задолженность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штрафа.</w:t>
      </w:r>
    </w:p>
    <w:p w:rsidR="007D42AE" w:rsidRPr="007F3792" w:rsidRDefault="007D42AE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Недостатком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«Русский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Стандарт»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(именно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Владивостоке!)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является,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пожалуй,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единственный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касс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внесения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платежей.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Клиентам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приходится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вносить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платежи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через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почту,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коммерческие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иди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Банки.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вез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де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свой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плюс.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октябре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2008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Владивостоке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запустил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первых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банкомата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снятия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наличных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денежных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средств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карты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внесения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комиссий.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через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два-три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месяца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банкоматов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стало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штук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всему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городу.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Теперь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людям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приходится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стоять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длинных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очередях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почте,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платя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перевод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платежа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комиссию,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они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заплатить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кредит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любой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черте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города,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быстро,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надежно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комиссий.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тому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банкомат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дает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сдачи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выдает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подтверждающий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оплату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601E" w:rsidRPr="007F3792">
        <w:rPr>
          <w:rFonts w:ascii="Times New Roman" w:hAnsi="Times New Roman" w:cs="Times New Roman"/>
          <w:color w:val="auto"/>
          <w:sz w:val="28"/>
          <w:szCs w:val="28"/>
        </w:rPr>
        <w:t>чек.</w:t>
      </w:r>
    </w:p>
    <w:p w:rsidR="00374135" w:rsidRDefault="00374135" w:rsidP="00374135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53B2C" w:rsidRPr="00374135" w:rsidRDefault="0023601E" w:rsidP="00374135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4135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F53B2C" w:rsidRPr="00374135">
        <w:rPr>
          <w:rFonts w:ascii="Times New Roman" w:hAnsi="Times New Roman" w:cs="Times New Roman"/>
          <w:b/>
          <w:color w:val="auto"/>
          <w:sz w:val="28"/>
          <w:szCs w:val="28"/>
        </w:rPr>
        <w:t>адание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74135">
        <w:rPr>
          <w:rFonts w:ascii="Times New Roman" w:hAnsi="Times New Roman" w:cs="Times New Roman"/>
          <w:b/>
          <w:color w:val="auto"/>
          <w:sz w:val="28"/>
          <w:szCs w:val="28"/>
        </w:rPr>
        <w:t>№</w:t>
      </w:r>
      <w:r w:rsidR="003741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74135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</w:p>
    <w:p w:rsidR="00F53B2C" w:rsidRPr="007F3792" w:rsidRDefault="00F53B2C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</w:p>
    <w:p w:rsidR="00F53B2C" w:rsidRPr="007F3792" w:rsidRDefault="00F53B2C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Составьте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график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погашения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следующих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данных: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составляет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153000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руб.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Процентная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ставка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годовых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18,5%.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основании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кредитного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основного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долга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погашается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равными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платежами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ежемесячно,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суммы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процентов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начисляются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остаточную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стоимость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ежемесячно;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договор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заключен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1,5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года.</w:t>
      </w:r>
    </w:p>
    <w:p w:rsidR="00374135" w:rsidRDefault="00374135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53B2C" w:rsidRPr="007F3792" w:rsidRDefault="00F53B2C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F3792">
        <w:rPr>
          <w:rFonts w:ascii="Times New Roman" w:hAnsi="Times New Roman" w:cs="Times New Roman"/>
          <w:color w:val="auto"/>
          <w:sz w:val="28"/>
          <w:szCs w:val="28"/>
        </w:rPr>
        <w:t>Расчеты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оформите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374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F3792">
        <w:rPr>
          <w:rFonts w:ascii="Times New Roman" w:hAnsi="Times New Roman" w:cs="Times New Roman"/>
          <w:color w:val="auto"/>
          <w:sz w:val="28"/>
          <w:szCs w:val="28"/>
        </w:rPr>
        <w:t>таблицы.</w:t>
      </w:r>
    </w:p>
    <w:tbl>
      <w:tblPr>
        <w:tblW w:w="9252" w:type="dxa"/>
        <w:tblInd w:w="-72" w:type="dxa"/>
        <w:tblLook w:val="0000" w:firstRow="0" w:lastRow="0" w:firstColumn="0" w:lastColumn="0" w:noHBand="0" w:noVBand="0"/>
      </w:tblPr>
      <w:tblGrid>
        <w:gridCol w:w="1302"/>
        <w:gridCol w:w="1598"/>
        <w:gridCol w:w="1351"/>
        <w:gridCol w:w="1797"/>
        <w:gridCol w:w="1787"/>
        <w:gridCol w:w="1417"/>
      </w:tblGrid>
      <w:tr w:rsidR="00F53B2C" w:rsidRPr="007F3792" w:rsidTr="00374135">
        <w:trPr>
          <w:trHeight w:val="76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Дата</w:t>
            </w:r>
            <w:r w:rsidR="00374135">
              <w:rPr>
                <w:rFonts w:cs="Arial"/>
                <w:sz w:val="20"/>
                <w:szCs w:val="20"/>
              </w:rPr>
              <w:t xml:space="preserve"> </w:t>
            </w:r>
            <w:r w:rsidRPr="00374135">
              <w:rPr>
                <w:rFonts w:cs="Arial"/>
                <w:sz w:val="20"/>
                <w:szCs w:val="20"/>
              </w:rPr>
              <w:t>оплаты</w:t>
            </w:r>
            <w:r w:rsidR="00374135">
              <w:rPr>
                <w:rFonts w:cs="Arial"/>
                <w:sz w:val="20"/>
                <w:szCs w:val="20"/>
              </w:rPr>
              <w:t xml:space="preserve"> </w:t>
            </w:r>
            <w:r w:rsidRPr="00374135">
              <w:rPr>
                <w:rFonts w:cs="Arial"/>
                <w:sz w:val="20"/>
                <w:szCs w:val="20"/>
              </w:rPr>
              <w:t>кредита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Период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начисления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Сумма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платежей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Сумма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начисленных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процентов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Сумма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основного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долга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по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кредиту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Остаток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по</w:t>
            </w:r>
            <w:r w:rsidR="00374135">
              <w:rPr>
                <w:rFonts w:cs="Tahoma"/>
                <w:bCs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bCs/>
                <w:sz w:val="20"/>
                <w:szCs w:val="20"/>
              </w:rPr>
              <w:t>кредиту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10.03.09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2403,99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153000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10903,99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10.04.09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2270,43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144500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10770,43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10.05.09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3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2136,88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136000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10636,88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10.06.09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4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2003,32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127500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10503,32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10.07.09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5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1869,77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119000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10369,77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10.08.09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6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1736,21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110500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10236,21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10.09.09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7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1602,66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102000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10102,66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10.10.09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1469,1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93500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9969,1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10.11.09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1335,55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9835,55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10.12.09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1201,99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76500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9701,99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10.01.10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11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1068,44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68000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9568,44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10.02.10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12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934,88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59500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9434,88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10.03.10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13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801,33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51000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9301,33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10.04.10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14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667,77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42500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9167,77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10.05.10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15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534,22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34000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9034,22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10.06.10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16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400,66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25500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8900,66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10.07.10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17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267,11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17000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8767,11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374135">
              <w:rPr>
                <w:rFonts w:cs="Arial"/>
                <w:sz w:val="20"/>
                <w:szCs w:val="20"/>
              </w:rPr>
              <w:t>10.08.10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18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месяц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133,55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8633,55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153000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22837,86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374135">
              <w:rPr>
                <w:rFonts w:cs="Tahoma"/>
                <w:bCs/>
                <w:sz w:val="20"/>
                <w:szCs w:val="20"/>
              </w:rPr>
              <w:t>175837,86</w:t>
            </w:r>
          </w:p>
        </w:tc>
      </w:tr>
      <w:tr w:rsidR="00F53B2C" w:rsidRPr="007F3792" w:rsidTr="00374135">
        <w:trPr>
          <w:trHeight w:val="285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53B2C" w:rsidRPr="007F3792" w:rsidTr="00374135">
        <w:trPr>
          <w:trHeight w:val="285"/>
        </w:trPr>
        <w:tc>
          <w:tcPr>
            <w:tcW w:w="78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Переплата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за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пользование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кредитом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22837,85</w:t>
            </w:r>
          </w:p>
        </w:tc>
      </w:tr>
      <w:tr w:rsidR="00F53B2C" w:rsidRPr="007F3792" w:rsidTr="00374135">
        <w:trPr>
          <w:trHeight w:val="285"/>
        </w:trPr>
        <w:tc>
          <w:tcPr>
            <w:tcW w:w="78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Общая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стоимость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покупки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(после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выплаты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кредита)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175837,86</w:t>
            </w:r>
          </w:p>
        </w:tc>
      </w:tr>
      <w:tr w:rsidR="00F53B2C" w:rsidRPr="007F3792" w:rsidTr="00374135">
        <w:trPr>
          <w:trHeight w:val="285"/>
        </w:trPr>
        <w:tc>
          <w:tcPr>
            <w:tcW w:w="78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Удорожание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покупки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14,92%</w:t>
            </w:r>
          </w:p>
        </w:tc>
      </w:tr>
      <w:tr w:rsidR="00F53B2C" w:rsidRPr="007F3792" w:rsidTr="00374135">
        <w:trPr>
          <w:trHeight w:val="285"/>
        </w:trPr>
        <w:tc>
          <w:tcPr>
            <w:tcW w:w="78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Эффективная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процентная</w:t>
            </w:r>
            <w:r w:rsidR="00374135">
              <w:rPr>
                <w:rFonts w:cs="Tahoma"/>
                <w:sz w:val="20"/>
                <w:szCs w:val="20"/>
              </w:rPr>
              <w:t xml:space="preserve"> </w:t>
            </w:r>
            <w:r w:rsidRPr="00374135">
              <w:rPr>
                <w:rFonts w:cs="Tahoma"/>
                <w:sz w:val="20"/>
                <w:szCs w:val="20"/>
              </w:rPr>
              <w:t>ставка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3B2C" w:rsidRPr="00374135" w:rsidRDefault="00F53B2C" w:rsidP="00374135">
            <w:pPr>
              <w:spacing w:line="360" w:lineRule="auto"/>
              <w:jc w:val="both"/>
              <w:rPr>
                <w:rFonts w:cs="Tahoma"/>
                <w:sz w:val="20"/>
                <w:szCs w:val="20"/>
              </w:rPr>
            </w:pPr>
            <w:r w:rsidRPr="00374135">
              <w:rPr>
                <w:rFonts w:cs="Tahoma"/>
                <w:sz w:val="20"/>
                <w:szCs w:val="20"/>
              </w:rPr>
              <w:t>18,50%</w:t>
            </w:r>
          </w:p>
        </w:tc>
      </w:tr>
    </w:tbl>
    <w:p w:rsidR="00374135" w:rsidRPr="00374135" w:rsidRDefault="00374135" w:rsidP="00374135">
      <w:pPr>
        <w:pStyle w:val="HTML"/>
        <w:spacing w:line="360" w:lineRule="auto"/>
        <w:ind w:firstLine="709"/>
        <w:jc w:val="center"/>
        <w:rPr>
          <w:rFonts w:ascii="Times New Roman" w:hAnsi="Times New Roman" w:cs="Tahoma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2"/>
        </w:rPr>
        <w:br w:type="page"/>
      </w:r>
      <w:r w:rsidR="00F53B2C" w:rsidRPr="00374135">
        <w:rPr>
          <w:rFonts w:ascii="Times New Roman" w:hAnsi="Times New Roman" w:cs="Times New Roman"/>
          <w:b/>
          <w:color w:val="auto"/>
          <w:sz w:val="28"/>
          <w:szCs w:val="28"/>
        </w:rPr>
        <w:t>Вывод:</w:t>
      </w:r>
    </w:p>
    <w:p w:rsidR="00374135" w:rsidRDefault="00374135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ahoma"/>
          <w:color w:val="auto"/>
          <w:sz w:val="28"/>
          <w:szCs w:val="28"/>
        </w:rPr>
      </w:pPr>
    </w:p>
    <w:p w:rsidR="00F53B2C" w:rsidRPr="007F3792" w:rsidRDefault="00374135" w:rsidP="007F3792">
      <w:pPr>
        <w:pStyle w:val="HTML"/>
        <w:spacing w:line="360" w:lineRule="auto"/>
        <w:ind w:firstLine="709"/>
        <w:jc w:val="both"/>
        <w:rPr>
          <w:rFonts w:ascii="Times New Roman" w:hAnsi="Times New Roman" w:cs="Tahoma"/>
          <w:color w:val="auto"/>
          <w:sz w:val="28"/>
          <w:szCs w:val="28"/>
        </w:rPr>
      </w:pPr>
      <w:r>
        <w:rPr>
          <w:rFonts w:ascii="Times New Roman" w:hAnsi="Times New Roman" w:cs="Tahoma"/>
          <w:color w:val="auto"/>
          <w:sz w:val="28"/>
          <w:szCs w:val="28"/>
        </w:rPr>
        <w:t>П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ереплата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за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пользование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кредитом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за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18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месяцев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(с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10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марта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2009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года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10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августа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2010)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составит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22837,85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руб,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общая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стоимость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покупки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(после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выплаты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кредита)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-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175837,86,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удорожание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покупки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(т.е.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фактическая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переплата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кредитному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договору)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–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на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14,92%,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эффективная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процентная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ставка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(т.е.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полная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годовая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ставка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всеми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расчетами;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она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предназначена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для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финансового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отчета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перед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Центральным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Банком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России)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–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размере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18,50%.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Таким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образом,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удорожание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покупки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напрямую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зависит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не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только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от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её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стоимости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(т.е.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суммы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кредита),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но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от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размера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первоначального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взноса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от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срока,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на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который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выдается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кредит.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Значит,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если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условиям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кредитного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договора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сделать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первоначальный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взнос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(ПВ)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более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стандартного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взноса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размере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10%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(например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30-50%),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то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ежемесячный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платеж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автоматически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становится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меньше,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тем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самым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можно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сократить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и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сам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срок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кредита.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В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данном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случае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удорожание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товара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(его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переплата)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существенно</w:t>
      </w:r>
      <w:r>
        <w:rPr>
          <w:rFonts w:ascii="Times New Roman" w:hAnsi="Times New Roman" w:cs="Tahoma"/>
          <w:color w:val="auto"/>
          <w:sz w:val="28"/>
          <w:szCs w:val="28"/>
        </w:rPr>
        <w:t xml:space="preserve"> </w:t>
      </w:r>
      <w:r w:rsidR="00F53B2C" w:rsidRPr="007F3792">
        <w:rPr>
          <w:rFonts w:ascii="Times New Roman" w:hAnsi="Times New Roman" w:cs="Tahoma"/>
          <w:color w:val="auto"/>
          <w:sz w:val="28"/>
          <w:szCs w:val="28"/>
        </w:rPr>
        <w:t>изменится.</w:t>
      </w:r>
    </w:p>
    <w:p w:rsidR="00F53B2C" w:rsidRPr="00374135" w:rsidRDefault="00374135" w:rsidP="00374135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 w:cs="Tahoma"/>
          <w:color w:val="auto"/>
          <w:sz w:val="28"/>
          <w:szCs w:val="28"/>
        </w:rPr>
        <w:br w:type="page"/>
      </w:r>
      <w:r w:rsidR="0023601E" w:rsidRPr="00374135">
        <w:rPr>
          <w:rFonts w:ascii="Times New Roman" w:hAnsi="Times New Roman"/>
          <w:b/>
          <w:color w:val="auto"/>
          <w:sz w:val="28"/>
          <w:szCs w:val="28"/>
        </w:rPr>
        <w:t>Список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23601E" w:rsidRPr="00374135">
        <w:rPr>
          <w:rFonts w:ascii="Times New Roman" w:hAnsi="Times New Roman"/>
          <w:b/>
          <w:color w:val="auto"/>
          <w:sz w:val="28"/>
          <w:szCs w:val="28"/>
        </w:rPr>
        <w:t>использованной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23601E" w:rsidRPr="00374135">
        <w:rPr>
          <w:rFonts w:ascii="Times New Roman" w:hAnsi="Times New Roman"/>
          <w:b/>
          <w:color w:val="auto"/>
          <w:sz w:val="28"/>
          <w:szCs w:val="28"/>
        </w:rPr>
        <w:t>литературы</w:t>
      </w:r>
    </w:p>
    <w:p w:rsidR="0021231C" w:rsidRPr="007F3792" w:rsidRDefault="0021231C" w:rsidP="007F3792">
      <w:pPr>
        <w:spacing w:line="360" w:lineRule="auto"/>
        <w:ind w:firstLine="709"/>
        <w:jc w:val="both"/>
        <w:rPr>
          <w:sz w:val="28"/>
          <w:szCs w:val="28"/>
        </w:rPr>
      </w:pPr>
    </w:p>
    <w:p w:rsidR="0023601E" w:rsidRPr="007F3792" w:rsidRDefault="0023601E" w:rsidP="00374135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F3792">
        <w:rPr>
          <w:sz w:val="28"/>
          <w:szCs w:val="28"/>
        </w:rPr>
        <w:t>Банковское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дело: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Учебник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/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Под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ред.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О.И.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Лаврушина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–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М.: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Финансы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и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статистика,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1998.</w:t>
      </w:r>
    </w:p>
    <w:p w:rsidR="0021231C" w:rsidRPr="007F3792" w:rsidRDefault="0021231C" w:rsidP="00374135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F3792">
        <w:rPr>
          <w:sz w:val="28"/>
          <w:szCs w:val="28"/>
        </w:rPr>
        <w:t>Финансы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/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Под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ред.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Л.А.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Дробозиной.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–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М.,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Финансы,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1999.</w:t>
      </w:r>
    </w:p>
    <w:p w:rsidR="0021231C" w:rsidRPr="007F3792" w:rsidRDefault="0021231C" w:rsidP="00374135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F3792">
        <w:rPr>
          <w:sz w:val="28"/>
          <w:szCs w:val="28"/>
        </w:rPr>
        <w:t>Жуков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Е.Ф.</w:t>
      </w:r>
      <w:r w:rsidR="00374135">
        <w:rPr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Деньги.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Кредит.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Банки</w:t>
      </w:r>
      <w:r w:rsidRPr="007F3792">
        <w:rPr>
          <w:sz w:val="28"/>
          <w:szCs w:val="28"/>
        </w:rPr>
        <w:t>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учебник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для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студ.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вузов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/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Авт.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кол.: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Е.Ф.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Жуков,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Н.М.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Зеленкова,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Л.Т.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Литвиненко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и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др.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–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М.: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ЮНИТИ-ДАНА,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2005.</w:t>
      </w:r>
    </w:p>
    <w:p w:rsidR="0021231C" w:rsidRPr="007F3792" w:rsidRDefault="0021231C" w:rsidP="00374135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F3792">
        <w:rPr>
          <w:sz w:val="28"/>
          <w:szCs w:val="28"/>
        </w:rPr>
        <w:t>Лаврушин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О.И.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Деньги,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кредит,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банки</w:t>
      </w:r>
      <w:r w:rsidRPr="007F3792">
        <w:rPr>
          <w:sz w:val="28"/>
          <w:szCs w:val="28"/>
        </w:rPr>
        <w:t>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учебник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для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студ.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вузов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/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Под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ред.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О.И.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Лаврушин;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Фин.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акад.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при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Правительстве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РФ.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–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М.: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КНОРУС,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2006.</w:t>
      </w:r>
    </w:p>
    <w:p w:rsidR="0021231C" w:rsidRPr="007F3792" w:rsidRDefault="0021231C" w:rsidP="00374135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F3792">
        <w:rPr>
          <w:sz w:val="28"/>
          <w:szCs w:val="28"/>
        </w:rPr>
        <w:t>Терентьева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Т.В.</w:t>
      </w:r>
      <w:r w:rsidR="00374135">
        <w:rPr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Деньги,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кредит,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банки,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биржевое</w:t>
      </w:r>
      <w:r w:rsidR="00374135">
        <w:rPr>
          <w:bCs/>
          <w:sz w:val="28"/>
          <w:szCs w:val="28"/>
        </w:rPr>
        <w:t xml:space="preserve"> </w:t>
      </w:r>
      <w:r w:rsidRPr="007F3792">
        <w:rPr>
          <w:bCs/>
          <w:sz w:val="28"/>
          <w:szCs w:val="28"/>
        </w:rPr>
        <w:t>дело</w:t>
      </w:r>
      <w:r w:rsidRPr="007F3792">
        <w:rPr>
          <w:sz w:val="28"/>
          <w:szCs w:val="28"/>
        </w:rPr>
        <w:t>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учебное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пособие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для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студ.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вузов: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2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ч.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/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Т.В.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Терентьева.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–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Владивосток: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Изд-во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ВГУЭС,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2001.</w:t>
      </w:r>
    </w:p>
    <w:p w:rsidR="0021231C" w:rsidRPr="007F3792" w:rsidRDefault="0021231C" w:rsidP="00374135">
      <w:pPr>
        <w:pStyle w:val="2"/>
        <w:numPr>
          <w:ilvl w:val="0"/>
          <w:numId w:val="10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7F3792">
        <w:rPr>
          <w:sz w:val="28"/>
          <w:szCs w:val="28"/>
        </w:rPr>
        <w:t>Титова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Н.Е.,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Кожаев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Ю.П.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Деньги,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кредит,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банки: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учеб.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пособие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для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студ.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вузов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/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Н.Е.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Титова,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Ю.П.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Кожаев.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–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М.: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Владос,</w:t>
      </w:r>
      <w:r w:rsidR="00374135">
        <w:rPr>
          <w:sz w:val="28"/>
          <w:szCs w:val="28"/>
        </w:rPr>
        <w:t xml:space="preserve"> </w:t>
      </w:r>
      <w:r w:rsidRPr="007F3792">
        <w:rPr>
          <w:sz w:val="28"/>
          <w:szCs w:val="28"/>
        </w:rPr>
        <w:t>2003.</w:t>
      </w:r>
    </w:p>
    <w:p w:rsidR="0023601E" w:rsidRPr="00374135" w:rsidRDefault="0021231C" w:rsidP="00374135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74135">
        <w:rPr>
          <w:sz w:val="28"/>
          <w:szCs w:val="28"/>
        </w:rPr>
        <w:t>Финансы,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денежное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обращение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и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кредит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/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под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ред.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В.К.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Сенчасова,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А.И.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Архипова.–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М: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«Проспект»,</w:t>
      </w:r>
      <w:r w:rsidR="00374135">
        <w:rPr>
          <w:sz w:val="28"/>
          <w:szCs w:val="28"/>
        </w:rPr>
        <w:t xml:space="preserve"> </w:t>
      </w:r>
      <w:r w:rsidRPr="00374135">
        <w:rPr>
          <w:sz w:val="28"/>
          <w:szCs w:val="28"/>
        </w:rPr>
        <w:t>2004</w:t>
      </w:r>
      <w:bookmarkStart w:id="0" w:name="_GoBack"/>
      <w:bookmarkEnd w:id="0"/>
    </w:p>
    <w:sectPr w:rsidR="0023601E" w:rsidRPr="00374135" w:rsidSect="007F3792">
      <w:headerReference w:type="even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719" w:rsidRDefault="00C11719">
      <w:r>
        <w:separator/>
      </w:r>
    </w:p>
  </w:endnote>
  <w:endnote w:type="continuationSeparator" w:id="0">
    <w:p w:rsidR="00C11719" w:rsidRDefault="00C11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719" w:rsidRDefault="00C11719">
      <w:r>
        <w:separator/>
      </w:r>
    </w:p>
  </w:footnote>
  <w:footnote w:type="continuationSeparator" w:id="0">
    <w:p w:rsidR="00C11719" w:rsidRDefault="00C11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12E" w:rsidRDefault="0057512E" w:rsidP="008D4B02">
    <w:pPr>
      <w:pStyle w:val="a5"/>
      <w:framePr w:wrap="around" w:vAnchor="text" w:hAnchor="margin" w:xAlign="right" w:y="1"/>
      <w:rPr>
        <w:rStyle w:val="a7"/>
      </w:rPr>
    </w:pPr>
  </w:p>
  <w:p w:rsidR="0057512E" w:rsidRDefault="0057512E" w:rsidP="0057512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20948"/>
    <w:multiLevelType w:val="hybridMultilevel"/>
    <w:tmpl w:val="684CAAE2"/>
    <w:lvl w:ilvl="0" w:tplc="04190001">
      <w:start w:val="1"/>
      <w:numFmt w:val="bullet"/>
      <w:lvlText w:val=""/>
      <w:lvlJc w:val="left"/>
      <w:pPr>
        <w:tabs>
          <w:tab w:val="num" w:pos="865"/>
        </w:tabs>
        <w:ind w:left="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5"/>
        </w:tabs>
        <w:ind w:left="15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5"/>
        </w:tabs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5"/>
        </w:tabs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5"/>
        </w:tabs>
        <w:ind w:left="37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5"/>
        </w:tabs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5"/>
        </w:tabs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5"/>
        </w:tabs>
        <w:ind w:left="59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5"/>
        </w:tabs>
        <w:ind w:left="6625" w:hanging="360"/>
      </w:pPr>
      <w:rPr>
        <w:rFonts w:ascii="Wingdings" w:hAnsi="Wingdings" w:hint="default"/>
      </w:rPr>
    </w:lvl>
  </w:abstractNum>
  <w:abstractNum w:abstractNumId="1">
    <w:nsid w:val="234F590D"/>
    <w:multiLevelType w:val="hybridMultilevel"/>
    <w:tmpl w:val="478892F6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hint="default"/>
      </w:rPr>
    </w:lvl>
  </w:abstractNum>
  <w:abstractNum w:abstractNumId="2">
    <w:nsid w:val="340B35DB"/>
    <w:multiLevelType w:val="hybridMultilevel"/>
    <w:tmpl w:val="934078F8"/>
    <w:lvl w:ilvl="0" w:tplc="0419000F">
      <w:start w:val="1"/>
      <w:numFmt w:val="decimal"/>
      <w:lvlText w:val="%1."/>
      <w:lvlJc w:val="left"/>
      <w:pPr>
        <w:tabs>
          <w:tab w:val="num" w:pos="1126"/>
        </w:tabs>
        <w:ind w:left="11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476273"/>
    <w:multiLevelType w:val="hybridMultilevel"/>
    <w:tmpl w:val="4D2AB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40554B6"/>
    <w:multiLevelType w:val="hybridMultilevel"/>
    <w:tmpl w:val="20886F9A"/>
    <w:lvl w:ilvl="0" w:tplc="FE32640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8F00E6C"/>
    <w:multiLevelType w:val="hybridMultilevel"/>
    <w:tmpl w:val="FB7A277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C344B4B"/>
    <w:multiLevelType w:val="hybridMultilevel"/>
    <w:tmpl w:val="879E1C70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hint="default"/>
      </w:rPr>
    </w:lvl>
  </w:abstractNum>
  <w:abstractNum w:abstractNumId="7">
    <w:nsid w:val="760149EF"/>
    <w:multiLevelType w:val="hybridMultilevel"/>
    <w:tmpl w:val="62A25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63E7412"/>
    <w:multiLevelType w:val="hybridMultilevel"/>
    <w:tmpl w:val="324C0508"/>
    <w:lvl w:ilvl="0" w:tplc="041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6"/>
        </w:tabs>
        <w:ind w:left="22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B2C"/>
    <w:rsid w:val="00065EDE"/>
    <w:rsid w:val="00071A00"/>
    <w:rsid w:val="000D433B"/>
    <w:rsid w:val="00182353"/>
    <w:rsid w:val="0021231C"/>
    <w:rsid w:val="002123C2"/>
    <w:rsid w:val="0023601E"/>
    <w:rsid w:val="00300538"/>
    <w:rsid w:val="0036301D"/>
    <w:rsid w:val="00374135"/>
    <w:rsid w:val="003A29E4"/>
    <w:rsid w:val="005460A6"/>
    <w:rsid w:val="0057512E"/>
    <w:rsid w:val="005B07D7"/>
    <w:rsid w:val="007D42AE"/>
    <w:rsid w:val="007F3792"/>
    <w:rsid w:val="0081131B"/>
    <w:rsid w:val="008307D0"/>
    <w:rsid w:val="00845085"/>
    <w:rsid w:val="008D4B02"/>
    <w:rsid w:val="008F3DDA"/>
    <w:rsid w:val="00966DC2"/>
    <w:rsid w:val="00C11719"/>
    <w:rsid w:val="00CC6B61"/>
    <w:rsid w:val="00D20695"/>
    <w:rsid w:val="00E96C5F"/>
    <w:rsid w:val="00F242C7"/>
    <w:rsid w:val="00F24F09"/>
    <w:rsid w:val="00F53B2C"/>
    <w:rsid w:val="00FD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442D07-38B7-4A73-B6AD-321A9F64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B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F53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2214B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57512E"/>
    <w:pPr>
      <w:autoSpaceDE w:val="0"/>
      <w:autoSpaceDN w:val="0"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5751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7512E"/>
    <w:rPr>
      <w:rFonts w:cs="Times New Roman"/>
    </w:rPr>
  </w:style>
  <w:style w:type="paragraph" w:styleId="2">
    <w:name w:val="Body Text Indent 2"/>
    <w:basedOn w:val="a"/>
    <w:link w:val="20"/>
    <w:uiPriority w:val="99"/>
    <w:rsid w:val="002123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7F37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7F379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0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кредита</vt:lpstr>
    </vt:vector>
  </TitlesOfParts>
  <Company/>
  <LinksUpToDate>false</LinksUpToDate>
  <CharactersWithSpaces>16468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кредита</dc:title>
  <dc:subject/>
  <dc:creator>ScorpioN</dc:creator>
  <cp:keywords/>
  <dc:description/>
  <cp:lastModifiedBy>admin</cp:lastModifiedBy>
  <cp:revision>2</cp:revision>
  <dcterms:created xsi:type="dcterms:W3CDTF">2014-03-01T11:41:00Z</dcterms:created>
  <dcterms:modified xsi:type="dcterms:W3CDTF">2014-03-01T11:41:00Z</dcterms:modified>
</cp:coreProperties>
</file>